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hint="default" w:ascii="方正小标宋简体" w:hAnsi="宋体" w:eastAsia="方正小标宋简体"/>
          <w:color w:val="000000"/>
          <w:sz w:val="30"/>
          <w:szCs w:val="30"/>
          <w:lang w:val="en-US" w:eastAsia="zh-CN"/>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bookmarkEnd w:id="0"/>
    <w:p>
      <w:pPr>
        <w:adjustRightInd w:val="0"/>
        <w:snapToGrid w:val="0"/>
        <w:spacing w:line="360" w:lineRule="auto"/>
        <w:jc w:val="center"/>
        <w:outlineLvl w:val="0"/>
        <w:rPr>
          <w:rFonts w:ascii="方正小标宋简体" w:hAnsi="宋体" w:eastAsia="方正小标宋简体"/>
          <w:b/>
          <w:bCs/>
          <w:color w:val="000000"/>
          <w:sz w:val="72"/>
          <w:szCs w:val="72"/>
        </w:rPr>
      </w:pPr>
      <w:bookmarkStart w:id="1" w:name="_Toc15396475"/>
      <w:bookmarkStart w:id="2" w:name="_Toc15377425"/>
      <w:bookmarkStart w:id="3" w:name="_Toc15396597"/>
      <w:bookmarkStart w:id="4" w:name="_Toc15377193"/>
      <w:bookmarkStart w:id="5" w:name="_Toc15378441"/>
      <w:r>
        <w:rPr>
          <w:rFonts w:ascii="黑体" w:hAnsi="黑体" w:eastAsia="黑体"/>
          <w:b/>
          <w:bCs/>
          <w:color w:val="000000"/>
          <w:sz w:val="72"/>
          <w:szCs w:val="72"/>
        </w:rPr>
        <w:t>20</w:t>
      </w:r>
      <w:r>
        <w:rPr>
          <w:rFonts w:hint="eastAsia" w:ascii="黑体" w:hAnsi="黑体" w:eastAsia="黑体"/>
          <w:b/>
          <w:bCs/>
          <w:color w:val="000000"/>
          <w:sz w:val="72"/>
          <w:szCs w:val="72"/>
          <w:lang w:val="en-US" w:eastAsia="zh-CN"/>
        </w:rPr>
        <w:t>20</w:t>
      </w:r>
      <w:r>
        <w:rPr>
          <w:rFonts w:hint="eastAsia" w:ascii="方正小标宋简体" w:hAnsi="宋体" w:eastAsia="方正小标宋简体"/>
          <w:b/>
          <w:bCs/>
          <w:color w:val="000000"/>
          <w:sz w:val="72"/>
          <w:szCs w:val="72"/>
        </w:rPr>
        <w:t>年度</w:t>
      </w:r>
      <w:bookmarkEnd w:id="1"/>
      <w:bookmarkEnd w:id="2"/>
      <w:bookmarkEnd w:id="3"/>
      <w:bookmarkEnd w:id="4"/>
      <w:bookmarkEnd w:id="5"/>
    </w:p>
    <w:p>
      <w:pPr>
        <w:widowControl/>
        <w:jc w:val="center"/>
        <w:rPr>
          <w:rFonts w:ascii="黑体" w:hAnsi="黑体" w:eastAsia="黑体"/>
          <w:color w:val="auto"/>
          <w:sz w:val="48"/>
          <w:szCs w:val="48"/>
        </w:rPr>
      </w:pPr>
      <w:bookmarkStart w:id="6" w:name="_Toc15378442"/>
      <w:bookmarkStart w:id="7" w:name="_Toc15377194"/>
      <w:bookmarkStart w:id="8" w:name="_Toc15396476"/>
      <w:bookmarkStart w:id="9" w:name="_Toc15396598"/>
      <w:bookmarkStart w:id="10" w:name="_Toc15377426"/>
      <w:r>
        <w:rPr>
          <w:rFonts w:hint="eastAsia" w:ascii="方正小标宋简体" w:hAnsi="宋体" w:eastAsia="方正小标宋简体"/>
          <w:b/>
          <w:bCs/>
          <w:color w:val="000000"/>
          <w:sz w:val="72"/>
          <w:szCs w:val="72"/>
        </w:rPr>
        <w:t>四川省</w:t>
      </w:r>
      <w:bookmarkStart w:id="11" w:name="_Toc15306268"/>
      <w:r>
        <w:rPr>
          <w:rFonts w:hint="eastAsia" w:ascii="方正小标宋简体" w:hAnsi="宋体" w:eastAsia="方正小标宋简体"/>
          <w:b/>
          <w:bCs/>
          <w:color w:val="000000"/>
          <w:sz w:val="72"/>
          <w:szCs w:val="72"/>
          <w:lang w:eastAsia="zh-CN"/>
        </w:rPr>
        <w:t>地质矿产勘查开发局一</w:t>
      </w:r>
      <w:r>
        <w:rPr>
          <w:rFonts w:hint="eastAsia" w:ascii="方正小标宋简体" w:hAnsi="宋体" w:eastAsia="方正小标宋简体"/>
          <w:b/>
          <w:bCs/>
          <w:color w:val="000000"/>
          <w:sz w:val="72"/>
          <w:szCs w:val="72"/>
          <w:lang w:val="en-US" w:eastAsia="zh-CN"/>
        </w:rPr>
        <w:t>0八地质队单位</w:t>
      </w:r>
      <w:r>
        <w:rPr>
          <w:rFonts w:hint="eastAsia" w:ascii="方正小标宋简体" w:hAnsi="宋体" w:eastAsia="方正小标宋简体"/>
          <w:b/>
          <w:bCs/>
          <w:color w:val="000000"/>
          <w:sz w:val="72"/>
          <w:szCs w:val="72"/>
        </w:rPr>
        <w:t>决算</w:t>
      </w:r>
      <w:bookmarkEnd w:id="6"/>
      <w:bookmarkEnd w:id="7"/>
      <w:bookmarkEnd w:id="8"/>
      <w:bookmarkEnd w:id="9"/>
      <w:bookmarkEnd w:id="10"/>
      <w:bookmarkEnd w:id="11"/>
      <w:r>
        <w:rPr>
          <w:rFonts w:ascii="方正小标宋简体" w:hAnsi="宋体" w:eastAsia="方正小标宋简体"/>
          <w:b/>
          <w:bCs/>
          <w:color w:val="auto"/>
          <w:sz w:val="72"/>
          <w:szCs w:val="72"/>
        </w:rPr>
        <w:br w:type="page"/>
      </w:r>
      <w:r>
        <w:rPr>
          <w:rFonts w:hint="eastAsia" w:ascii="黑体" w:hAnsi="黑体" w:eastAsia="黑体"/>
          <w:color w:val="auto"/>
          <w:sz w:val="48"/>
          <w:szCs w:val="48"/>
        </w:rPr>
        <w:t>目录</w:t>
      </w:r>
    </w:p>
    <w:p>
      <w:pPr>
        <w:widowControl/>
        <w:jc w:val="center"/>
        <w:rPr>
          <w:rFonts w:ascii="黑体" w:hAnsi="黑体" w:eastAsia="黑体" w:cstheme="minorBidi"/>
          <w:color w:val="auto"/>
          <w:sz w:val="28"/>
          <w:szCs w:val="28"/>
        </w:rPr>
      </w:pPr>
    </w:p>
    <w:p>
      <w:pPr>
        <w:pStyle w:val="11"/>
        <w:rPr>
          <w:color w:val="auto"/>
        </w:rPr>
      </w:pPr>
      <w:r>
        <w:rPr>
          <w:rFonts w:hint="eastAsia"/>
          <w:color w:val="auto"/>
        </w:rPr>
        <w:t>公开时间：20</w:t>
      </w:r>
      <w:r>
        <w:rPr>
          <w:rFonts w:hint="eastAsia"/>
          <w:color w:val="auto"/>
          <w:lang w:val="en-US" w:eastAsia="zh-CN"/>
        </w:rPr>
        <w:t>21</w:t>
      </w:r>
      <w:r>
        <w:rPr>
          <w:rFonts w:hint="eastAsia"/>
          <w:color w:val="auto"/>
        </w:rPr>
        <w:t>年</w:t>
      </w:r>
      <w:r>
        <w:rPr>
          <w:rFonts w:hint="eastAsia"/>
          <w:color w:val="auto"/>
          <w:lang w:val="en-US" w:eastAsia="zh-CN"/>
        </w:rPr>
        <w:t>9</w:t>
      </w:r>
      <w:r>
        <w:rPr>
          <w:rFonts w:hint="eastAsia"/>
          <w:color w:val="auto"/>
        </w:rPr>
        <w:t>月</w:t>
      </w:r>
      <w:r>
        <w:rPr>
          <w:rFonts w:hint="eastAsia"/>
          <w:color w:val="auto"/>
          <w:lang w:val="en-US" w:eastAsia="zh-CN"/>
        </w:rPr>
        <w:t>10</w:t>
      </w:r>
      <w:r>
        <w:rPr>
          <w:rFonts w:hint="eastAsia"/>
          <w:color w:val="auto"/>
        </w:rPr>
        <w:t>日</w:t>
      </w:r>
    </w:p>
    <w:p>
      <w:pPr>
        <w:rPr>
          <w:color w:val="auto"/>
        </w:rPr>
      </w:pPr>
    </w:p>
    <w:p>
      <w:pPr>
        <w:keepNext w:val="0"/>
        <w:keepLines w:val="0"/>
        <w:widowControl/>
        <w:suppressLineNumbers w:val="0"/>
        <w:jc w:val="left"/>
        <w:rPr>
          <w:rFonts w:cstheme="minorBidi"/>
          <w:b/>
          <w:bCs/>
          <w:color w:val="auto"/>
          <w:sz w:val="24"/>
          <w:szCs w:val="24"/>
        </w:rPr>
      </w:pPr>
      <w:r>
        <w:rPr>
          <w:rFonts w:hint="eastAsia"/>
          <w:b/>
          <w:bCs/>
          <w:color w:val="auto"/>
          <w:sz w:val="24"/>
        </w:rPr>
        <w:t>第一部分</w:t>
      </w:r>
      <w:r>
        <w:rPr>
          <w:b/>
          <w:bCs/>
          <w:color w:val="auto"/>
          <w:sz w:val="24"/>
        </w:rPr>
        <w:t xml:space="preserve"> </w:t>
      </w:r>
      <w:r>
        <w:rPr>
          <w:rFonts w:hint="eastAsia"/>
          <w:b/>
          <w:bCs/>
          <w:color w:val="auto"/>
          <w:sz w:val="24"/>
          <w:lang w:eastAsia="zh-CN"/>
        </w:rPr>
        <w:t>单位</w:t>
      </w:r>
      <w:r>
        <w:rPr>
          <w:rFonts w:hint="eastAsia"/>
          <w:b/>
          <w:bCs/>
          <w:color w:val="auto"/>
          <w:sz w:val="24"/>
        </w:rPr>
        <w:t>概况</w:t>
      </w:r>
      <w:r>
        <w:rPr>
          <w:rFonts w:ascii="仿宋_GB2312" w:hAnsi="仿宋_GB2312" w:eastAsia="仿宋_GB2312" w:cs="仿宋_GB2312"/>
          <w:b/>
          <w:bCs/>
          <w:color w:val="000000"/>
          <w:kern w:val="0"/>
          <w:sz w:val="31"/>
          <w:szCs w:val="31"/>
          <w:lang w:val="en-US" w:eastAsia="zh-CN" w:bidi="ar"/>
        </w:rPr>
        <w:t>.......................................4</w:t>
      </w:r>
    </w:p>
    <w:p>
      <w:pPr>
        <w:keepNext w:val="0"/>
        <w:keepLines w:val="0"/>
        <w:widowControl/>
        <w:suppressLineNumbers w:val="0"/>
        <w:ind w:firstLine="480" w:firstLineChars="200"/>
        <w:jc w:val="left"/>
        <w:rPr>
          <w:rFonts w:hint="eastAsia" w:eastAsia="宋体"/>
          <w:color w:val="auto"/>
          <w:sz w:val="24"/>
          <w:lang w:eastAsia="zh-CN"/>
        </w:rPr>
      </w:pPr>
      <w:r>
        <w:rPr>
          <w:rFonts w:hint="eastAsia"/>
          <w:color w:val="auto"/>
          <w:sz w:val="24"/>
        </w:rPr>
        <w:t>一、职能</w:t>
      </w:r>
      <w:r>
        <w:rPr>
          <w:rFonts w:hint="eastAsia"/>
          <w:color w:val="auto"/>
          <w:sz w:val="24"/>
          <w:lang w:eastAsia="zh-CN"/>
        </w:rPr>
        <w:t>简介</w:t>
      </w:r>
      <w:r>
        <w:rPr>
          <w:rFonts w:ascii="仿宋_GB2312" w:hAnsi="仿宋_GB2312" w:eastAsia="仿宋_GB2312" w:cs="仿宋_GB2312"/>
          <w:b/>
          <w:bCs/>
          <w:color w:val="000000"/>
          <w:kern w:val="0"/>
          <w:sz w:val="31"/>
          <w:szCs w:val="31"/>
          <w:lang w:val="en-US" w:eastAsia="zh-CN" w:bidi="ar"/>
        </w:rPr>
        <w:t>........................................4</w:t>
      </w:r>
    </w:p>
    <w:p>
      <w:pPr>
        <w:keepNext w:val="0"/>
        <w:keepLines w:val="0"/>
        <w:widowControl/>
        <w:suppressLineNumbers w:val="0"/>
        <w:ind w:firstLine="480" w:firstLineChars="200"/>
        <w:jc w:val="left"/>
        <w:rPr>
          <w:rFonts w:ascii="仿宋_GB2312" w:hAnsi="仿宋_GB2312" w:eastAsia="仿宋_GB2312" w:cs="仿宋_GB2312"/>
          <w:b/>
          <w:bCs/>
          <w:color w:val="000000"/>
          <w:kern w:val="0"/>
          <w:sz w:val="31"/>
          <w:szCs w:val="31"/>
          <w:lang w:val="en-US" w:eastAsia="zh-CN" w:bidi="ar"/>
        </w:rPr>
      </w:pPr>
      <w:r>
        <w:rPr>
          <w:rFonts w:hint="eastAsia" w:asciiTheme="minorEastAsia" w:hAnsiTheme="minorEastAsia" w:eastAsiaTheme="minorEastAsia" w:cstheme="minorEastAsia"/>
          <w:color w:val="auto"/>
          <w:sz w:val="24"/>
          <w:lang w:eastAsia="zh-CN"/>
        </w:rPr>
        <w:t>二、</w:t>
      </w:r>
      <w:r>
        <w:rPr>
          <w:rFonts w:hint="eastAsia" w:asciiTheme="minorEastAsia" w:hAnsiTheme="minorEastAsia" w:eastAsiaTheme="minorEastAsia" w:cstheme="minorEastAsia"/>
          <w:color w:val="auto"/>
          <w:sz w:val="24"/>
          <w:lang w:val="en-US" w:eastAsia="zh-CN"/>
        </w:rPr>
        <w:t>2020年重点</w:t>
      </w:r>
      <w:r>
        <w:rPr>
          <w:rFonts w:hint="eastAsia" w:asciiTheme="minorEastAsia" w:hAnsiTheme="minorEastAsia" w:eastAsiaTheme="minorEastAsia" w:cstheme="minorEastAsia"/>
          <w:color w:val="auto"/>
          <w:sz w:val="24"/>
        </w:rPr>
        <w:t>工作</w:t>
      </w:r>
      <w:r>
        <w:rPr>
          <w:rFonts w:hint="eastAsia" w:asciiTheme="minorEastAsia" w:hAnsiTheme="minorEastAsia" w:eastAsiaTheme="minorEastAsia" w:cstheme="minorEastAsia"/>
          <w:color w:val="auto"/>
          <w:sz w:val="24"/>
          <w:lang w:eastAsia="zh-CN"/>
        </w:rPr>
        <w:t>完成情况</w:t>
      </w:r>
      <w:r>
        <w:rPr>
          <w:rFonts w:ascii="仿宋_GB2312" w:hAnsi="仿宋_GB2312" w:eastAsia="仿宋_GB2312" w:cs="仿宋_GB2312"/>
          <w:b/>
          <w:bCs/>
          <w:color w:val="000000"/>
          <w:kern w:val="0"/>
          <w:sz w:val="31"/>
          <w:szCs w:val="31"/>
          <w:lang w:val="en-US" w:eastAsia="zh-CN" w:bidi="ar"/>
        </w:rPr>
        <w:t>.............................4</w:t>
      </w:r>
    </w:p>
    <w:p>
      <w:pPr>
        <w:keepNext w:val="0"/>
        <w:keepLines w:val="0"/>
        <w:widowControl/>
        <w:suppressLineNumbers w:val="0"/>
        <w:ind w:firstLine="480" w:firstLineChars="200"/>
        <w:jc w:val="left"/>
        <w:rPr>
          <w:rFonts w:hint="eastAsia" w:ascii="仿宋_GB2312" w:hAnsi="仿宋_GB2312" w:eastAsia="仿宋_GB2312" w:cs="仿宋_GB2312"/>
          <w:b/>
          <w:bCs/>
          <w:color w:val="000000"/>
          <w:kern w:val="0"/>
          <w:sz w:val="31"/>
          <w:szCs w:val="31"/>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SA"/>
        </w:rPr>
        <w:t>三、机构设置情况</w:t>
      </w:r>
      <w:r>
        <w:rPr>
          <w:rFonts w:ascii="仿宋_GB2312" w:hAnsi="仿宋_GB2312" w:eastAsia="仿宋_GB2312" w:cs="仿宋_GB2312"/>
          <w:b/>
          <w:bCs/>
          <w:color w:val="000000"/>
          <w:kern w:val="0"/>
          <w:sz w:val="31"/>
          <w:szCs w:val="31"/>
          <w:lang w:val="en-US" w:eastAsia="zh-CN" w:bidi="ar"/>
        </w:rPr>
        <w:t>.....................................</w:t>
      </w:r>
      <w:r>
        <w:rPr>
          <w:rFonts w:hint="eastAsia" w:ascii="仿宋_GB2312" w:hAnsi="仿宋_GB2312" w:eastAsia="仿宋_GB2312" w:cs="仿宋_GB2312"/>
          <w:b/>
          <w:bCs/>
          <w:color w:val="000000"/>
          <w:kern w:val="0"/>
          <w:sz w:val="31"/>
          <w:szCs w:val="31"/>
          <w:lang w:val="en-US" w:eastAsia="zh-CN" w:bidi="ar"/>
        </w:rPr>
        <w:t>4</w:t>
      </w:r>
      <w:r>
        <w:rPr>
          <w:rFonts w:hint="eastAsia"/>
          <w:b/>
          <w:bCs/>
          <w:color w:val="auto"/>
          <w:sz w:val="24"/>
        </w:rPr>
        <w:t>第二部分</w:t>
      </w:r>
      <w:r>
        <w:rPr>
          <w:rFonts w:hint="eastAsia"/>
          <w:b/>
          <w:bCs/>
          <w:color w:val="auto"/>
          <w:sz w:val="24"/>
          <w:lang w:val="en-US" w:eastAsia="zh-CN"/>
        </w:rPr>
        <w:t xml:space="preserve"> 2020年度</w:t>
      </w:r>
      <w:r>
        <w:rPr>
          <w:rFonts w:hint="eastAsia"/>
          <w:b/>
          <w:bCs/>
          <w:color w:val="auto"/>
          <w:sz w:val="24"/>
          <w:lang w:eastAsia="zh-CN"/>
        </w:rPr>
        <w:t>单位</w:t>
      </w:r>
      <w:r>
        <w:rPr>
          <w:rFonts w:hint="eastAsia"/>
          <w:b/>
          <w:bCs/>
          <w:color w:val="auto"/>
          <w:sz w:val="24"/>
        </w:rPr>
        <w:t>决算情况说明</w:t>
      </w:r>
      <w:r>
        <w:rPr>
          <w:rFonts w:ascii="仿宋_GB2312" w:hAnsi="仿宋_GB2312" w:eastAsia="仿宋_GB2312" w:cs="仿宋_GB2312"/>
          <w:b/>
          <w:bCs/>
          <w:color w:val="000000"/>
          <w:kern w:val="0"/>
          <w:sz w:val="31"/>
          <w:szCs w:val="31"/>
          <w:lang w:val="en-US" w:eastAsia="zh-CN" w:bidi="ar"/>
        </w:rPr>
        <w:t>..........................</w:t>
      </w:r>
      <w:r>
        <w:rPr>
          <w:rFonts w:hint="eastAsia" w:ascii="仿宋_GB2312" w:hAnsi="仿宋_GB2312" w:eastAsia="仿宋_GB2312" w:cs="仿宋_GB2312"/>
          <w:b/>
          <w:bCs/>
          <w:color w:val="000000"/>
          <w:kern w:val="0"/>
          <w:sz w:val="31"/>
          <w:szCs w:val="31"/>
          <w:lang w:val="en-US" w:eastAsia="zh-CN" w:bidi="ar"/>
        </w:rPr>
        <w:t xml:space="preserve">8       </w:t>
      </w:r>
    </w:p>
    <w:p>
      <w:pPr>
        <w:keepNext w:val="0"/>
        <w:keepLines w:val="0"/>
        <w:widowControl/>
        <w:suppressLineNumbers w:val="0"/>
        <w:ind w:firstLine="480" w:firstLineChars="200"/>
        <w:jc w:val="left"/>
        <w:rPr>
          <w:rFonts w:hint="eastAsia" w:ascii="仿宋_GB2312" w:hAnsi="仿宋_GB2312" w:eastAsia="仿宋_GB2312" w:cs="仿宋_GB2312"/>
          <w:b/>
          <w:bCs/>
          <w:color w:val="000000"/>
          <w:kern w:val="0"/>
          <w:sz w:val="31"/>
          <w:szCs w:val="31"/>
          <w:lang w:val="en-US" w:eastAsia="zh-CN" w:bidi="ar"/>
        </w:rPr>
      </w:pPr>
      <w:r>
        <w:rPr>
          <w:rFonts w:hint="eastAsia"/>
          <w:color w:val="auto"/>
          <w:sz w:val="24"/>
        </w:rPr>
        <w:t>一、收入支出决算总体情况说明</w:t>
      </w:r>
      <w:r>
        <w:rPr>
          <w:rFonts w:ascii="仿宋_GB2312" w:hAnsi="仿宋_GB2312" w:eastAsia="仿宋_GB2312" w:cs="仿宋_GB2312"/>
          <w:b/>
          <w:bCs/>
          <w:color w:val="000000"/>
          <w:kern w:val="0"/>
          <w:sz w:val="31"/>
          <w:szCs w:val="31"/>
          <w:lang w:val="en-US" w:eastAsia="zh-CN" w:bidi="ar"/>
        </w:rPr>
        <w:t>............................</w:t>
      </w:r>
      <w:r>
        <w:rPr>
          <w:rFonts w:hint="eastAsia" w:ascii="仿宋_GB2312" w:hAnsi="仿宋_GB2312" w:eastAsia="仿宋_GB2312" w:cs="仿宋_GB2312"/>
          <w:b/>
          <w:bCs/>
          <w:color w:val="000000"/>
          <w:kern w:val="0"/>
          <w:sz w:val="31"/>
          <w:szCs w:val="31"/>
          <w:lang w:val="en-US" w:eastAsia="zh-CN" w:bidi="ar"/>
        </w:rPr>
        <w:t>8</w:t>
      </w:r>
    </w:p>
    <w:p>
      <w:pPr>
        <w:keepNext w:val="0"/>
        <w:keepLines w:val="0"/>
        <w:widowControl/>
        <w:suppressLineNumbers w:val="0"/>
        <w:ind w:firstLine="480" w:firstLineChars="200"/>
        <w:jc w:val="left"/>
        <w:rPr>
          <w:rFonts w:ascii="仿宋" w:hAnsi="仿宋" w:eastAsia="仿宋" w:cstheme="minorBidi"/>
          <w:color w:val="auto"/>
          <w:sz w:val="24"/>
        </w:rPr>
      </w:pPr>
      <w:r>
        <w:rPr>
          <w:rFonts w:hint="eastAsia"/>
          <w:color w:val="auto"/>
          <w:sz w:val="24"/>
        </w:rPr>
        <w:t>二、收入决算情况说明</w:t>
      </w:r>
      <w:r>
        <w:rPr>
          <w:rFonts w:ascii="仿宋_GB2312" w:hAnsi="仿宋_GB2312" w:eastAsia="仿宋_GB2312" w:cs="仿宋_GB2312"/>
          <w:b/>
          <w:bCs/>
          <w:color w:val="000000"/>
          <w:kern w:val="0"/>
          <w:sz w:val="31"/>
          <w:szCs w:val="31"/>
          <w:lang w:val="en-US" w:eastAsia="zh-CN" w:bidi="ar"/>
        </w:rPr>
        <w:t>..................................</w:t>
      </w:r>
      <w:r>
        <w:rPr>
          <w:rFonts w:hint="eastAsia" w:ascii="仿宋_GB2312" w:hAnsi="仿宋_GB2312" w:eastAsia="仿宋_GB2312" w:cs="仿宋_GB2312"/>
          <w:b/>
          <w:bCs/>
          <w:color w:val="000000"/>
          <w:kern w:val="0"/>
          <w:sz w:val="31"/>
          <w:szCs w:val="31"/>
          <w:lang w:val="en-US" w:eastAsia="zh-CN" w:bidi="ar"/>
        </w:rPr>
        <w:t>8</w:t>
      </w:r>
    </w:p>
    <w:p>
      <w:pPr>
        <w:keepNext w:val="0"/>
        <w:keepLines w:val="0"/>
        <w:widowControl/>
        <w:suppressLineNumbers w:val="0"/>
        <w:ind w:firstLine="480" w:firstLineChars="200"/>
        <w:jc w:val="left"/>
        <w:rPr>
          <w:rFonts w:hint="default" w:ascii="仿宋" w:hAnsi="仿宋" w:eastAsia="仿宋" w:cstheme="minorBidi"/>
          <w:color w:val="auto"/>
          <w:sz w:val="24"/>
          <w:lang w:val="en-US"/>
        </w:rPr>
      </w:pPr>
      <w:r>
        <w:rPr>
          <w:rFonts w:hint="eastAsia"/>
          <w:color w:val="auto"/>
          <w:sz w:val="24"/>
        </w:rPr>
        <w:t>三、支出决算情况说明</w:t>
      </w:r>
      <w:r>
        <w:rPr>
          <w:rFonts w:ascii="仿宋_GB2312" w:hAnsi="仿宋_GB2312" w:eastAsia="仿宋_GB2312" w:cs="仿宋_GB2312"/>
          <w:b/>
          <w:bCs/>
          <w:color w:val="000000"/>
          <w:kern w:val="0"/>
          <w:sz w:val="31"/>
          <w:szCs w:val="31"/>
          <w:lang w:val="en-US" w:eastAsia="zh-CN" w:bidi="ar"/>
        </w:rPr>
        <w:t>..................................</w:t>
      </w:r>
      <w:r>
        <w:rPr>
          <w:rFonts w:hint="eastAsia" w:ascii="仿宋_GB2312" w:hAnsi="仿宋_GB2312" w:eastAsia="仿宋_GB2312" w:cs="仿宋_GB2312"/>
          <w:b/>
          <w:bCs/>
          <w:color w:val="000000"/>
          <w:kern w:val="0"/>
          <w:sz w:val="31"/>
          <w:szCs w:val="31"/>
          <w:lang w:val="en-US" w:eastAsia="zh-CN" w:bidi="ar"/>
        </w:rPr>
        <w:t>9</w:t>
      </w:r>
    </w:p>
    <w:p>
      <w:pPr>
        <w:keepNext w:val="0"/>
        <w:keepLines w:val="0"/>
        <w:widowControl/>
        <w:suppressLineNumbers w:val="0"/>
        <w:ind w:left="479" w:leftChars="228" w:firstLine="0" w:firstLineChars="0"/>
        <w:jc w:val="left"/>
        <w:rPr>
          <w:rFonts w:hint="default" w:ascii="仿宋" w:hAnsi="仿宋" w:eastAsia="仿宋" w:cstheme="minorBidi"/>
          <w:color w:val="auto"/>
          <w:sz w:val="24"/>
          <w:lang w:val="en-US"/>
        </w:rPr>
      </w:pPr>
      <w:r>
        <w:rPr>
          <w:rFonts w:hint="eastAsia"/>
          <w:color w:val="auto"/>
          <w:sz w:val="24"/>
        </w:rPr>
        <w:t>四、财政拨款收入支出决算总体情况说明</w:t>
      </w:r>
      <w:r>
        <w:rPr>
          <w:rFonts w:ascii="仿宋_GB2312" w:hAnsi="仿宋_GB2312" w:eastAsia="仿宋_GB2312" w:cs="仿宋_GB2312"/>
          <w:b/>
          <w:bCs/>
          <w:color w:val="000000"/>
          <w:kern w:val="0"/>
          <w:sz w:val="31"/>
          <w:szCs w:val="31"/>
          <w:lang w:val="en-US" w:eastAsia="zh-CN" w:bidi="ar"/>
        </w:rPr>
        <w:t>.....................</w:t>
      </w:r>
      <w:r>
        <w:rPr>
          <w:rFonts w:hint="eastAsia" w:ascii="仿宋_GB2312" w:hAnsi="仿宋_GB2312" w:eastAsia="仿宋_GB2312" w:cs="仿宋_GB2312"/>
          <w:b/>
          <w:bCs/>
          <w:color w:val="000000"/>
          <w:kern w:val="0"/>
          <w:sz w:val="31"/>
          <w:szCs w:val="31"/>
          <w:lang w:val="en-US" w:eastAsia="zh-CN" w:bidi="ar"/>
        </w:rPr>
        <w:t>10</w:t>
      </w:r>
      <w:r>
        <w:rPr>
          <w:rFonts w:hint="eastAsia"/>
          <w:color w:val="auto"/>
          <w:sz w:val="24"/>
        </w:rPr>
        <w:t>五、一般公共预算财政拨款支出决算情况说明</w:t>
      </w:r>
      <w:r>
        <w:rPr>
          <w:rFonts w:ascii="仿宋_GB2312" w:hAnsi="仿宋_GB2312" w:eastAsia="仿宋_GB2312" w:cs="仿宋_GB2312"/>
          <w:b/>
          <w:bCs/>
          <w:color w:val="000000"/>
          <w:kern w:val="0"/>
          <w:sz w:val="31"/>
          <w:szCs w:val="31"/>
          <w:lang w:val="en-US" w:eastAsia="zh-CN" w:bidi="ar"/>
        </w:rPr>
        <w:t>..................</w:t>
      </w:r>
      <w:r>
        <w:rPr>
          <w:rFonts w:hint="eastAsia" w:ascii="仿宋_GB2312" w:hAnsi="仿宋_GB2312" w:eastAsia="仿宋_GB2312" w:cs="仿宋_GB2312"/>
          <w:b/>
          <w:bCs/>
          <w:color w:val="000000"/>
          <w:kern w:val="0"/>
          <w:sz w:val="31"/>
          <w:szCs w:val="31"/>
          <w:lang w:val="en-US" w:eastAsia="zh-CN" w:bidi="ar"/>
        </w:rPr>
        <w:t>11</w:t>
      </w:r>
    </w:p>
    <w:p>
      <w:pPr>
        <w:keepNext w:val="0"/>
        <w:keepLines w:val="0"/>
        <w:widowControl/>
        <w:suppressLineNumbers w:val="0"/>
        <w:ind w:firstLine="480" w:firstLineChars="200"/>
        <w:jc w:val="left"/>
        <w:rPr>
          <w:rFonts w:hint="default" w:ascii="仿宋" w:hAnsi="仿宋" w:eastAsia="仿宋" w:cstheme="minorBidi"/>
          <w:color w:val="auto"/>
          <w:sz w:val="24"/>
          <w:lang w:val="en-US"/>
        </w:rPr>
      </w:pPr>
      <w:r>
        <w:rPr>
          <w:rFonts w:hint="eastAsia"/>
          <w:color w:val="auto"/>
          <w:sz w:val="24"/>
        </w:rPr>
        <w:t>六、一般公共预算财政拨款基本支出决算情况说明</w:t>
      </w:r>
      <w:r>
        <w:rPr>
          <w:rFonts w:ascii="仿宋_GB2312" w:hAnsi="仿宋_GB2312" w:eastAsia="仿宋_GB2312" w:cs="仿宋_GB2312"/>
          <w:b/>
          <w:bCs/>
          <w:color w:val="000000"/>
          <w:kern w:val="0"/>
          <w:sz w:val="31"/>
          <w:szCs w:val="31"/>
          <w:lang w:val="en-US" w:eastAsia="zh-CN" w:bidi="ar"/>
        </w:rPr>
        <w:t>...............</w:t>
      </w:r>
      <w:r>
        <w:rPr>
          <w:rFonts w:hint="eastAsia" w:ascii="仿宋_GB2312" w:hAnsi="仿宋_GB2312" w:eastAsia="仿宋_GB2312" w:cs="仿宋_GB2312"/>
          <w:b/>
          <w:bCs/>
          <w:color w:val="000000"/>
          <w:kern w:val="0"/>
          <w:sz w:val="31"/>
          <w:szCs w:val="31"/>
          <w:lang w:val="en-US" w:eastAsia="zh-CN" w:bidi="ar"/>
        </w:rPr>
        <w:t>14</w:t>
      </w:r>
    </w:p>
    <w:p>
      <w:pPr>
        <w:keepNext w:val="0"/>
        <w:keepLines w:val="0"/>
        <w:widowControl/>
        <w:suppressLineNumbers w:val="0"/>
        <w:ind w:firstLine="480" w:firstLineChars="200"/>
        <w:jc w:val="left"/>
        <w:rPr>
          <w:rFonts w:hint="default" w:ascii="仿宋" w:hAnsi="仿宋" w:eastAsia="仿宋" w:cstheme="minorBidi"/>
          <w:color w:val="auto"/>
          <w:sz w:val="24"/>
          <w:lang w:val="en-US"/>
        </w:rPr>
      </w:pPr>
      <w:r>
        <w:rPr>
          <w:rFonts w:hint="eastAsia"/>
          <w:color w:val="auto"/>
          <w:sz w:val="24"/>
        </w:rPr>
        <w:t>七、</w:t>
      </w:r>
      <w:r>
        <w:rPr>
          <w:color w:val="auto"/>
          <w:sz w:val="24"/>
        </w:rPr>
        <w:t>“</w:t>
      </w:r>
      <w:r>
        <w:rPr>
          <w:rFonts w:hint="eastAsia"/>
          <w:color w:val="auto"/>
          <w:sz w:val="24"/>
        </w:rPr>
        <w:t>三公”经费财政拨款支出决算情况说明</w:t>
      </w:r>
      <w:r>
        <w:rPr>
          <w:rFonts w:ascii="仿宋_GB2312" w:hAnsi="仿宋_GB2312" w:eastAsia="仿宋_GB2312" w:cs="仿宋_GB2312"/>
          <w:b/>
          <w:bCs/>
          <w:color w:val="000000"/>
          <w:kern w:val="0"/>
          <w:sz w:val="31"/>
          <w:szCs w:val="31"/>
          <w:lang w:val="en-US" w:eastAsia="zh-CN" w:bidi="ar"/>
        </w:rPr>
        <w:t>...................</w:t>
      </w:r>
      <w:r>
        <w:rPr>
          <w:rFonts w:hint="eastAsia" w:ascii="仿宋_GB2312" w:hAnsi="仿宋_GB2312" w:eastAsia="仿宋_GB2312" w:cs="仿宋_GB2312"/>
          <w:b/>
          <w:bCs/>
          <w:color w:val="000000"/>
          <w:kern w:val="0"/>
          <w:sz w:val="31"/>
          <w:szCs w:val="31"/>
          <w:lang w:val="en-US" w:eastAsia="zh-CN" w:bidi="ar"/>
        </w:rPr>
        <w:t>15</w:t>
      </w:r>
    </w:p>
    <w:p>
      <w:pPr>
        <w:pStyle w:val="12"/>
        <w:adjustRightInd w:val="0"/>
        <w:snapToGrid w:val="0"/>
        <w:spacing w:line="440" w:lineRule="exact"/>
        <w:jc w:val="left"/>
        <w:rPr>
          <w:rFonts w:hint="default" w:ascii="仿宋" w:hAnsi="仿宋" w:eastAsia="仿宋" w:cstheme="minorBidi"/>
          <w:color w:val="auto"/>
          <w:sz w:val="24"/>
          <w:lang w:val="en-US"/>
        </w:rPr>
      </w:pPr>
      <w:r>
        <w:rPr>
          <w:rFonts w:hint="eastAsia"/>
          <w:color w:val="auto"/>
          <w:sz w:val="24"/>
        </w:rPr>
        <w:t>八、政府性基金预算支出决算情况说明</w:t>
      </w:r>
      <w:r>
        <w:rPr>
          <w:rFonts w:ascii="仿宋_GB2312" w:hAnsi="仿宋_GB2312" w:eastAsia="仿宋_GB2312" w:cs="仿宋_GB2312"/>
          <w:b/>
          <w:bCs/>
          <w:color w:val="000000"/>
          <w:kern w:val="0"/>
          <w:sz w:val="31"/>
          <w:szCs w:val="31"/>
          <w:lang w:val="en-US" w:eastAsia="zh-CN" w:bidi="ar"/>
        </w:rPr>
        <w:t>.......................</w:t>
      </w:r>
      <w:r>
        <w:rPr>
          <w:rFonts w:hint="eastAsia" w:ascii="仿宋_GB2312" w:hAnsi="仿宋_GB2312" w:eastAsia="仿宋_GB2312" w:cs="仿宋_GB2312"/>
          <w:b/>
          <w:bCs/>
          <w:color w:val="000000"/>
          <w:kern w:val="0"/>
          <w:sz w:val="31"/>
          <w:szCs w:val="31"/>
          <w:lang w:val="en-US" w:eastAsia="zh-CN" w:bidi="ar"/>
        </w:rPr>
        <w:t>15</w:t>
      </w:r>
    </w:p>
    <w:p>
      <w:pPr>
        <w:keepNext w:val="0"/>
        <w:keepLines w:val="0"/>
        <w:widowControl/>
        <w:suppressLineNumbers w:val="0"/>
        <w:ind w:firstLine="480" w:firstLineChars="200"/>
        <w:jc w:val="left"/>
        <w:rPr>
          <w:rFonts w:hint="eastAsia" w:ascii="仿宋_GB2312" w:hAnsi="仿宋_GB2312" w:eastAsia="仿宋_GB2312" w:cs="仿宋_GB2312"/>
          <w:b/>
          <w:bCs/>
          <w:color w:val="000000"/>
          <w:kern w:val="0"/>
          <w:sz w:val="31"/>
          <w:szCs w:val="31"/>
          <w:lang w:val="en-US" w:eastAsia="zh-CN" w:bidi="ar"/>
        </w:rPr>
      </w:pPr>
      <w:r>
        <w:rPr>
          <w:rFonts w:hint="eastAsia"/>
          <w:color w:val="auto"/>
          <w:sz w:val="24"/>
        </w:rPr>
        <w:t>九、国有资本经营预算支出决算情况说明</w:t>
      </w:r>
      <w:r>
        <w:rPr>
          <w:rFonts w:ascii="仿宋_GB2312" w:hAnsi="仿宋_GB2312" w:eastAsia="仿宋_GB2312" w:cs="仿宋_GB2312"/>
          <w:b/>
          <w:bCs/>
          <w:color w:val="000000"/>
          <w:kern w:val="0"/>
          <w:sz w:val="31"/>
          <w:szCs w:val="31"/>
          <w:lang w:val="en-US" w:eastAsia="zh-CN" w:bidi="ar"/>
        </w:rPr>
        <w:t>.....................</w:t>
      </w:r>
      <w:r>
        <w:rPr>
          <w:rFonts w:hint="eastAsia" w:ascii="仿宋_GB2312" w:hAnsi="仿宋_GB2312" w:eastAsia="仿宋_GB2312" w:cs="仿宋_GB2312"/>
          <w:b/>
          <w:bCs/>
          <w:color w:val="000000"/>
          <w:kern w:val="0"/>
          <w:sz w:val="31"/>
          <w:szCs w:val="31"/>
          <w:lang w:val="en-US" w:eastAsia="zh-CN" w:bidi="ar"/>
        </w:rPr>
        <w:t>15</w:t>
      </w:r>
    </w:p>
    <w:p>
      <w:pPr>
        <w:keepNext w:val="0"/>
        <w:keepLines w:val="0"/>
        <w:widowControl/>
        <w:suppressLineNumbers w:val="0"/>
        <w:ind w:firstLine="480" w:firstLineChars="200"/>
        <w:jc w:val="left"/>
        <w:rPr>
          <w:rFonts w:hint="default" w:cstheme="minorBidi"/>
          <w:b/>
          <w:bCs/>
          <w:color w:val="auto"/>
          <w:sz w:val="24"/>
          <w:szCs w:val="24"/>
          <w:lang w:val="en-US"/>
        </w:rPr>
      </w:pPr>
      <w:r>
        <w:rPr>
          <w:rFonts w:hint="eastAsia"/>
          <w:color w:val="auto"/>
          <w:sz w:val="24"/>
        </w:rPr>
        <w:t>十、其他重要事项的情况说明</w:t>
      </w:r>
      <w:r>
        <w:rPr>
          <w:rFonts w:ascii="仿宋_GB2312" w:hAnsi="仿宋_GB2312" w:eastAsia="仿宋_GB2312" w:cs="仿宋_GB2312"/>
          <w:b/>
          <w:bCs/>
          <w:color w:val="000000"/>
          <w:kern w:val="0"/>
          <w:sz w:val="31"/>
          <w:szCs w:val="31"/>
          <w:lang w:val="en-US" w:eastAsia="zh-CN" w:bidi="ar"/>
        </w:rPr>
        <w:t>............................</w:t>
      </w:r>
      <w:r>
        <w:rPr>
          <w:rFonts w:hint="eastAsia" w:ascii="仿宋_GB2312" w:hAnsi="仿宋_GB2312" w:eastAsia="仿宋_GB2312" w:cs="仿宋_GB2312"/>
          <w:b/>
          <w:bCs/>
          <w:color w:val="000000"/>
          <w:kern w:val="0"/>
          <w:sz w:val="31"/>
          <w:szCs w:val="31"/>
          <w:lang w:val="en-US" w:eastAsia="zh-CN" w:bidi="ar"/>
        </w:rPr>
        <w:t>15</w:t>
      </w:r>
      <w:r>
        <w:rPr>
          <w:rFonts w:hint="eastAsia"/>
          <w:b/>
          <w:bCs/>
          <w:color w:val="auto"/>
          <w:sz w:val="24"/>
        </w:rPr>
        <w:t>第三部分</w:t>
      </w:r>
      <w:r>
        <w:rPr>
          <w:b/>
          <w:bCs/>
          <w:color w:val="auto"/>
          <w:sz w:val="24"/>
        </w:rPr>
        <w:t xml:space="preserve"> </w:t>
      </w:r>
      <w:r>
        <w:rPr>
          <w:rFonts w:hint="eastAsia"/>
          <w:b/>
          <w:bCs/>
          <w:color w:val="auto"/>
          <w:sz w:val="24"/>
        </w:rPr>
        <w:t>名词解释</w:t>
      </w:r>
      <w:r>
        <w:rPr>
          <w:rFonts w:ascii="仿宋_GB2312" w:hAnsi="仿宋_GB2312" w:eastAsia="仿宋_GB2312" w:cs="仿宋_GB2312"/>
          <w:b/>
          <w:bCs/>
          <w:color w:val="000000"/>
          <w:kern w:val="0"/>
          <w:sz w:val="31"/>
          <w:szCs w:val="31"/>
          <w:lang w:val="en-US" w:eastAsia="zh-CN" w:bidi="ar"/>
        </w:rPr>
        <w:t>......................................</w:t>
      </w:r>
      <w:r>
        <w:rPr>
          <w:rFonts w:hint="eastAsia" w:ascii="仿宋_GB2312" w:hAnsi="仿宋_GB2312" w:eastAsia="仿宋_GB2312" w:cs="仿宋_GB2312"/>
          <w:b/>
          <w:bCs/>
          <w:color w:val="000000"/>
          <w:kern w:val="0"/>
          <w:sz w:val="31"/>
          <w:szCs w:val="31"/>
          <w:lang w:val="en-US" w:eastAsia="zh-CN" w:bidi="ar"/>
        </w:rPr>
        <w:t>17</w:t>
      </w:r>
    </w:p>
    <w:p>
      <w:pPr>
        <w:keepNext w:val="0"/>
        <w:keepLines w:val="0"/>
        <w:widowControl/>
        <w:suppressLineNumbers w:val="0"/>
        <w:jc w:val="left"/>
        <w:rPr>
          <w:rFonts w:hint="default" w:cstheme="minorBidi"/>
          <w:b/>
          <w:bCs/>
          <w:color w:val="auto"/>
          <w:sz w:val="24"/>
          <w:szCs w:val="24"/>
          <w:lang w:val="en-US"/>
        </w:rPr>
      </w:pPr>
      <w:r>
        <w:rPr>
          <w:rFonts w:hint="eastAsia"/>
          <w:b/>
          <w:bCs/>
          <w:color w:val="auto"/>
          <w:sz w:val="24"/>
        </w:rPr>
        <w:t>第</w:t>
      </w:r>
      <w:r>
        <w:rPr>
          <w:rFonts w:hint="eastAsia"/>
          <w:b/>
          <w:bCs/>
          <w:color w:val="auto"/>
          <w:sz w:val="24"/>
          <w:lang w:eastAsia="zh-CN"/>
        </w:rPr>
        <w:t>四</w:t>
      </w:r>
      <w:r>
        <w:rPr>
          <w:rFonts w:hint="eastAsia"/>
          <w:b/>
          <w:bCs/>
          <w:color w:val="auto"/>
          <w:sz w:val="24"/>
        </w:rPr>
        <w:t>部分</w:t>
      </w:r>
      <w:r>
        <w:rPr>
          <w:b/>
          <w:bCs/>
          <w:color w:val="auto"/>
          <w:sz w:val="24"/>
        </w:rPr>
        <w:t xml:space="preserve"> </w:t>
      </w:r>
      <w:r>
        <w:rPr>
          <w:rFonts w:hint="eastAsia"/>
          <w:b/>
          <w:bCs/>
          <w:color w:val="auto"/>
          <w:sz w:val="24"/>
        </w:rPr>
        <w:t>附表</w:t>
      </w:r>
      <w:r>
        <w:rPr>
          <w:rFonts w:ascii="仿宋_GB2312" w:hAnsi="仿宋_GB2312" w:eastAsia="仿宋_GB2312" w:cs="仿宋_GB2312"/>
          <w:b/>
          <w:bCs/>
          <w:color w:val="000000"/>
          <w:kern w:val="0"/>
          <w:sz w:val="31"/>
          <w:szCs w:val="31"/>
          <w:lang w:val="en-US" w:eastAsia="zh-CN" w:bidi="ar"/>
        </w:rPr>
        <w:t>.........................................</w:t>
      </w:r>
      <w:r>
        <w:rPr>
          <w:rFonts w:hint="eastAsia" w:ascii="仿宋_GB2312" w:hAnsi="仿宋_GB2312" w:eastAsia="仿宋_GB2312" w:cs="仿宋_GB2312"/>
          <w:b/>
          <w:bCs/>
          <w:color w:val="000000"/>
          <w:kern w:val="0"/>
          <w:sz w:val="31"/>
          <w:szCs w:val="31"/>
          <w:lang w:val="en-US" w:eastAsia="zh-CN" w:bidi="ar"/>
        </w:rPr>
        <w:t>20</w:t>
      </w:r>
    </w:p>
    <w:p>
      <w:pPr>
        <w:pStyle w:val="12"/>
        <w:adjustRightInd w:val="0"/>
        <w:snapToGrid w:val="0"/>
        <w:spacing w:line="440" w:lineRule="exact"/>
        <w:jc w:val="left"/>
        <w:rPr>
          <w:rFonts w:hint="eastAsia"/>
          <w:color w:val="auto"/>
          <w:sz w:val="24"/>
        </w:rPr>
      </w:pPr>
      <w:r>
        <w:rPr>
          <w:rFonts w:hint="eastAsia"/>
          <w:color w:val="auto"/>
          <w:sz w:val="24"/>
        </w:rPr>
        <w:t>一、收入支出决算总表</w:t>
      </w:r>
    </w:p>
    <w:p>
      <w:pPr>
        <w:pStyle w:val="12"/>
        <w:adjustRightInd w:val="0"/>
        <w:snapToGrid w:val="0"/>
        <w:spacing w:line="440" w:lineRule="exact"/>
        <w:jc w:val="left"/>
        <w:rPr>
          <w:rFonts w:hint="eastAsia"/>
          <w:color w:val="auto"/>
          <w:sz w:val="24"/>
        </w:rPr>
      </w:pPr>
      <w:r>
        <w:rPr>
          <w:rFonts w:hint="eastAsia"/>
          <w:color w:val="auto"/>
          <w:sz w:val="24"/>
        </w:rPr>
        <w:t>二、收入决算表</w:t>
      </w:r>
    </w:p>
    <w:p>
      <w:pPr>
        <w:pStyle w:val="12"/>
        <w:adjustRightInd w:val="0"/>
        <w:snapToGrid w:val="0"/>
        <w:spacing w:line="440" w:lineRule="exact"/>
        <w:jc w:val="left"/>
        <w:rPr>
          <w:rFonts w:hint="eastAsia"/>
          <w:color w:val="auto"/>
          <w:sz w:val="24"/>
        </w:rPr>
      </w:pPr>
      <w:r>
        <w:rPr>
          <w:rFonts w:hint="eastAsia"/>
          <w:color w:val="auto"/>
          <w:sz w:val="24"/>
        </w:rPr>
        <w:t>三、支出决算表</w:t>
      </w:r>
    </w:p>
    <w:p>
      <w:pPr>
        <w:pStyle w:val="12"/>
        <w:adjustRightInd w:val="0"/>
        <w:snapToGrid w:val="0"/>
        <w:spacing w:line="440" w:lineRule="exact"/>
        <w:jc w:val="left"/>
        <w:rPr>
          <w:rFonts w:hint="eastAsia"/>
          <w:color w:val="auto"/>
          <w:sz w:val="24"/>
        </w:rPr>
      </w:pPr>
      <w:r>
        <w:rPr>
          <w:rFonts w:hint="eastAsia"/>
          <w:color w:val="auto"/>
          <w:sz w:val="24"/>
        </w:rPr>
        <w:t>四、财政拨款收入支出决算总表</w:t>
      </w:r>
    </w:p>
    <w:p>
      <w:pPr>
        <w:pStyle w:val="12"/>
        <w:adjustRightInd w:val="0"/>
        <w:snapToGrid w:val="0"/>
        <w:spacing w:line="440" w:lineRule="exact"/>
        <w:jc w:val="left"/>
        <w:rPr>
          <w:rFonts w:hint="eastAsia"/>
          <w:color w:val="auto"/>
          <w:sz w:val="24"/>
        </w:rPr>
      </w:pPr>
      <w:r>
        <w:rPr>
          <w:rFonts w:hint="eastAsia"/>
          <w:color w:val="auto"/>
          <w:sz w:val="24"/>
        </w:rPr>
        <w:t>五、财政拨款支出决算明细表</w:t>
      </w:r>
    </w:p>
    <w:p>
      <w:pPr>
        <w:pStyle w:val="12"/>
        <w:adjustRightInd w:val="0"/>
        <w:snapToGrid w:val="0"/>
        <w:spacing w:line="440" w:lineRule="exact"/>
        <w:jc w:val="left"/>
        <w:rPr>
          <w:rFonts w:hint="eastAsia"/>
          <w:color w:val="auto"/>
          <w:sz w:val="24"/>
        </w:rPr>
      </w:pPr>
      <w:r>
        <w:rPr>
          <w:rFonts w:hint="eastAsia"/>
          <w:color w:val="auto"/>
          <w:sz w:val="24"/>
        </w:rPr>
        <w:t>六、一般公共预算财政拨款支出决算表</w:t>
      </w:r>
    </w:p>
    <w:p>
      <w:pPr>
        <w:pStyle w:val="12"/>
        <w:adjustRightInd w:val="0"/>
        <w:snapToGrid w:val="0"/>
        <w:spacing w:line="440" w:lineRule="exact"/>
        <w:jc w:val="left"/>
        <w:rPr>
          <w:rFonts w:hint="eastAsia"/>
          <w:color w:val="auto"/>
          <w:sz w:val="24"/>
        </w:rPr>
      </w:pPr>
      <w:r>
        <w:rPr>
          <w:rFonts w:hint="eastAsia"/>
          <w:color w:val="auto"/>
          <w:sz w:val="24"/>
        </w:rPr>
        <w:t>七、一般公共预算财政拨款支出决算明细表</w:t>
      </w:r>
    </w:p>
    <w:p>
      <w:pPr>
        <w:pStyle w:val="12"/>
        <w:adjustRightInd w:val="0"/>
        <w:snapToGrid w:val="0"/>
        <w:spacing w:line="440" w:lineRule="exact"/>
        <w:jc w:val="left"/>
        <w:rPr>
          <w:rFonts w:hint="eastAsia"/>
          <w:color w:val="auto"/>
          <w:sz w:val="24"/>
        </w:rPr>
      </w:pPr>
      <w:r>
        <w:rPr>
          <w:rFonts w:hint="eastAsia"/>
          <w:color w:val="auto"/>
          <w:sz w:val="24"/>
        </w:rPr>
        <w:t>八、一般公共预算财政拨款基本支出决算表</w:t>
      </w:r>
    </w:p>
    <w:p>
      <w:pPr>
        <w:pStyle w:val="12"/>
        <w:adjustRightInd w:val="0"/>
        <w:snapToGrid w:val="0"/>
        <w:spacing w:line="440" w:lineRule="exact"/>
        <w:jc w:val="left"/>
        <w:rPr>
          <w:rFonts w:hint="eastAsia"/>
          <w:color w:val="auto"/>
          <w:sz w:val="24"/>
        </w:rPr>
      </w:pPr>
      <w:r>
        <w:rPr>
          <w:rFonts w:hint="eastAsia"/>
          <w:color w:val="auto"/>
          <w:sz w:val="24"/>
        </w:rPr>
        <w:t>九、一般公共预算财政拨款项目支出决算表</w:t>
      </w:r>
    </w:p>
    <w:p>
      <w:pPr>
        <w:pStyle w:val="12"/>
        <w:adjustRightInd w:val="0"/>
        <w:snapToGrid w:val="0"/>
        <w:spacing w:line="440" w:lineRule="exact"/>
        <w:jc w:val="left"/>
        <w:rPr>
          <w:rFonts w:hint="eastAsia"/>
          <w:color w:val="auto"/>
          <w:sz w:val="24"/>
        </w:rPr>
      </w:pPr>
      <w:r>
        <w:rPr>
          <w:rFonts w:hint="eastAsia"/>
          <w:color w:val="auto"/>
          <w:sz w:val="24"/>
        </w:rPr>
        <w:t>十、一般公共预算财政拨款“三公”经费支出决算表</w:t>
      </w:r>
    </w:p>
    <w:p>
      <w:pPr>
        <w:pStyle w:val="12"/>
        <w:adjustRightInd w:val="0"/>
        <w:snapToGrid w:val="0"/>
        <w:spacing w:line="440" w:lineRule="exact"/>
        <w:jc w:val="left"/>
        <w:rPr>
          <w:rFonts w:hint="eastAsia"/>
          <w:color w:val="auto"/>
          <w:sz w:val="24"/>
        </w:rPr>
      </w:pPr>
      <w:r>
        <w:rPr>
          <w:rFonts w:hint="eastAsia"/>
          <w:color w:val="auto"/>
          <w:sz w:val="24"/>
        </w:rPr>
        <w:t>十一、政府性基金预算财政拨款收入支出决算表</w:t>
      </w:r>
    </w:p>
    <w:p>
      <w:pPr>
        <w:pStyle w:val="12"/>
        <w:adjustRightInd w:val="0"/>
        <w:snapToGrid w:val="0"/>
        <w:spacing w:line="440" w:lineRule="exact"/>
        <w:jc w:val="left"/>
        <w:rPr>
          <w:rFonts w:hint="eastAsia"/>
          <w:color w:val="auto"/>
          <w:sz w:val="24"/>
        </w:rPr>
      </w:pPr>
      <w:r>
        <w:rPr>
          <w:rFonts w:hint="eastAsia"/>
          <w:color w:val="auto"/>
          <w:sz w:val="24"/>
        </w:rPr>
        <w:t>十二、政府性基金预算财政拨款“三公”经费支出决算表</w:t>
      </w:r>
    </w:p>
    <w:p>
      <w:pPr>
        <w:pStyle w:val="12"/>
        <w:adjustRightInd w:val="0"/>
        <w:snapToGrid w:val="0"/>
        <w:spacing w:line="440" w:lineRule="exact"/>
        <w:jc w:val="left"/>
        <w:rPr>
          <w:rFonts w:hint="eastAsia"/>
          <w:color w:val="auto"/>
          <w:sz w:val="24"/>
        </w:rPr>
      </w:pPr>
      <w:r>
        <w:rPr>
          <w:rFonts w:hint="eastAsia"/>
          <w:color w:val="auto"/>
          <w:sz w:val="24"/>
        </w:rPr>
        <w:t>十三、国有资本经营预算</w:t>
      </w:r>
      <w:r>
        <w:rPr>
          <w:rFonts w:hint="eastAsia"/>
          <w:color w:val="auto"/>
          <w:sz w:val="24"/>
          <w:lang w:eastAsia="zh-CN"/>
        </w:rPr>
        <w:t>财政拨款收入</w:t>
      </w:r>
      <w:r>
        <w:rPr>
          <w:rFonts w:hint="eastAsia"/>
          <w:color w:val="auto"/>
          <w:sz w:val="24"/>
        </w:rPr>
        <w:t>支出决算表</w:t>
      </w:r>
    </w:p>
    <w:p>
      <w:pPr>
        <w:pStyle w:val="12"/>
        <w:adjustRightInd w:val="0"/>
        <w:snapToGrid w:val="0"/>
        <w:spacing w:line="440" w:lineRule="exact"/>
        <w:jc w:val="left"/>
        <w:rPr>
          <w:rFonts w:ascii="仿宋" w:hAnsi="仿宋" w:eastAsia="仿宋"/>
          <w:bCs/>
          <w:color w:val="auto"/>
          <w:kern w:val="44"/>
          <w:sz w:val="24"/>
        </w:rPr>
      </w:pPr>
      <w:r>
        <w:rPr>
          <w:rFonts w:hint="eastAsia"/>
          <w:color w:val="auto"/>
          <w:sz w:val="24"/>
          <w:lang w:val="en-US" w:eastAsia="zh-CN"/>
        </w:rPr>
        <w:t>十四、国有资本经营预算财政拨款支出决算表</w:t>
      </w:r>
      <w:bookmarkStart w:id="12" w:name="_Toc15377196"/>
      <w:bookmarkStart w:id="13" w:name="_Toc15396599"/>
      <w:r>
        <w:rPr>
          <w:rFonts w:ascii="仿宋" w:hAnsi="仿宋" w:eastAsia="仿宋"/>
          <w:b/>
          <w:color w:val="auto"/>
          <w:sz w:val="24"/>
        </w:rPr>
        <w:br w:type="page"/>
      </w:r>
    </w:p>
    <w:p>
      <w:pPr>
        <w:pStyle w:val="3"/>
        <w:jc w:val="center"/>
        <w:rPr>
          <w:rStyle w:val="25"/>
          <w:rFonts w:ascii="黑体" w:hAnsi="黑体" w:eastAsia="黑体"/>
          <w:b/>
          <w:bCs w:val="0"/>
          <w:color w:val="auto"/>
        </w:rPr>
      </w:pPr>
      <w:r>
        <w:rPr>
          <w:rFonts w:hint="eastAsia" w:ascii="黑体" w:hAnsi="黑体" w:eastAsia="黑体"/>
          <w:b w:val="0"/>
          <w:color w:val="auto"/>
        </w:rPr>
        <w:t xml:space="preserve">第一部分 </w:t>
      </w:r>
      <w:r>
        <w:rPr>
          <w:rFonts w:hint="eastAsia" w:ascii="黑体" w:hAnsi="黑体" w:eastAsia="黑体"/>
          <w:b w:val="0"/>
          <w:color w:val="auto"/>
          <w:lang w:eastAsia="zh-CN"/>
        </w:rPr>
        <w:t>单位</w:t>
      </w:r>
      <w:r>
        <w:rPr>
          <w:rStyle w:val="25"/>
          <w:rFonts w:hint="eastAsia" w:ascii="黑体" w:hAnsi="黑体" w:eastAsia="黑体"/>
          <w:b w:val="0"/>
          <w:bCs w:val="0"/>
          <w:color w:val="auto"/>
        </w:rPr>
        <w:t>概况</w:t>
      </w:r>
      <w:bookmarkEnd w:id="12"/>
      <w:bookmarkEnd w:id="13"/>
    </w:p>
    <w:p>
      <w:pPr>
        <w:widowControl/>
        <w:jc w:val="left"/>
        <w:rPr>
          <w:rFonts w:ascii="黑体" w:eastAsia="黑体"/>
          <w:color w:val="auto"/>
          <w:sz w:val="32"/>
          <w:szCs w:val="32"/>
        </w:rPr>
      </w:pPr>
    </w:p>
    <w:p>
      <w:pPr>
        <w:pStyle w:val="4"/>
        <w:numPr>
          <w:ilvl w:val="0"/>
          <w:numId w:val="1"/>
        </w:numPr>
        <w:rPr>
          <w:rFonts w:hint="eastAsia"/>
          <w:color w:val="auto"/>
        </w:rPr>
      </w:pPr>
      <w:bookmarkStart w:id="14" w:name="_Toc15396600"/>
      <w:bookmarkStart w:id="15" w:name="_Toc15377197"/>
      <w:r>
        <w:rPr>
          <w:rStyle w:val="26"/>
          <w:rFonts w:hint="eastAsia" w:ascii="黑体" w:hAnsi="黑体" w:eastAsia="黑体"/>
          <w:b w:val="0"/>
          <w:bCs w:val="0"/>
          <w:color w:val="auto"/>
        </w:rPr>
        <w:t>职能</w:t>
      </w:r>
      <w:r>
        <w:rPr>
          <w:rStyle w:val="26"/>
          <w:rFonts w:hint="eastAsia" w:ascii="黑体" w:hAnsi="黑体" w:eastAsia="黑体"/>
          <w:b w:val="0"/>
          <w:bCs w:val="0"/>
          <w:color w:val="auto"/>
          <w:lang w:eastAsia="zh-CN"/>
        </w:rPr>
        <w:t>简介</w:t>
      </w:r>
    </w:p>
    <w:p>
      <w:pPr>
        <w:widowControl/>
        <w:ind w:firstLine="640" w:firstLineChars="200"/>
        <w:rPr>
          <w:rFonts w:hint="eastAsia"/>
        </w:rPr>
      </w:pPr>
      <w:r>
        <w:rPr>
          <w:rFonts w:hint="eastAsia" w:ascii="仿宋_GB2312" w:hAnsi="宋体" w:eastAsia="仿宋_GB2312" w:cs="宋体"/>
          <w:bCs/>
          <w:kern w:val="0"/>
          <w:sz w:val="32"/>
          <w:szCs w:val="32"/>
        </w:rPr>
        <w:t>我队现拥有各种甲级资质6个、乙级资质1个。其中，工程勘察专业类 （岩土工程〔勘察〕、水文地质勘察）、地质灾害防治危险性评估、地质灾害治理工程勘查、设计、施工为甲级资质。测绘为乙级资质。地基基础工程专业承包为贰级资质。我队是以地质找矿为核心竞争力的资源型地勘队伍，随着地质工作由资源型向资源与环境并重型的转变，结构性问题愈显突出。我队在做好传统地质找矿的同时，积极拓展新农村建设土地整治项目、城市地质环境调查、灾害地质调查、监测与预防等工作、农业地质调查、地质旅游规划等新领域。</w:t>
      </w:r>
    </w:p>
    <w:p>
      <w:pPr>
        <w:pStyle w:val="4"/>
        <w:numPr>
          <w:ilvl w:val="0"/>
          <w:numId w:val="1"/>
        </w:numPr>
        <w:rPr>
          <w:rFonts w:hint="eastAsia" w:ascii="黑体" w:hAnsi="黑体" w:eastAsia="黑体"/>
          <w:b w:val="0"/>
          <w:color w:val="auto"/>
        </w:rPr>
      </w:pPr>
      <w:r>
        <w:rPr>
          <w:rFonts w:hint="eastAsia" w:ascii="黑体" w:hAnsi="黑体" w:eastAsia="黑体"/>
          <w:b w:val="0"/>
          <w:color w:val="auto"/>
          <w:lang w:val="en-US" w:eastAsia="zh-CN"/>
        </w:rPr>
        <w:t>2020年重点</w:t>
      </w:r>
      <w:r>
        <w:rPr>
          <w:rFonts w:hint="eastAsia" w:ascii="黑体" w:hAnsi="黑体" w:eastAsia="黑体"/>
          <w:b w:val="0"/>
          <w:color w:val="auto"/>
        </w:rPr>
        <w:t>工作</w:t>
      </w:r>
      <w:bookmarkEnd w:id="14"/>
      <w:bookmarkEnd w:id="15"/>
      <w:r>
        <w:rPr>
          <w:rFonts w:hint="eastAsia" w:ascii="黑体" w:hAnsi="黑体" w:eastAsia="黑体"/>
          <w:b w:val="0"/>
          <w:color w:val="auto"/>
          <w:lang w:eastAsia="zh-CN"/>
        </w:rPr>
        <w:t>完成情况</w:t>
      </w:r>
    </w:p>
    <w:p>
      <w:pPr>
        <w:widowControl/>
        <w:ind w:firstLine="627" w:firstLineChars="196"/>
        <w:rPr>
          <w:rFonts w:hint="eastAsia" w:ascii="仿宋_GB2312" w:hAnsi="宋体" w:eastAsia="仿宋_GB2312" w:cs="宋体"/>
          <w:bCs/>
          <w:kern w:val="0"/>
          <w:sz w:val="32"/>
          <w:szCs w:val="32"/>
          <w:lang w:val="en-US" w:eastAsia="zh-CN"/>
        </w:rPr>
      </w:pPr>
      <w:r>
        <w:rPr>
          <w:rFonts w:hint="eastAsia" w:ascii="仿宋_GB2312" w:hAnsi="宋体" w:eastAsia="仿宋_GB2312" w:cs="宋体"/>
          <w:bCs/>
          <w:kern w:val="0"/>
          <w:sz w:val="32"/>
          <w:szCs w:val="32"/>
          <w:lang w:val="en-US" w:eastAsia="zh-CN"/>
        </w:rPr>
        <w:t>2020年，我队在局党委的坚强领导下,以习近平新时代中国特色社会主义思想为指导，全面贯彻落实中央、省委省政府和局党委各项决策部署，坚持“为工业找矿、为产业和民生服务”工作理念，按照“全面融入地方发展体系、精准服务政府运行目标”工作定位，以生产经营为龙头，以改革转型为主线，认真实施我队“四个主题年”行动，努力实现机制灵活、结构优化、经济发展、职工幸福，走出一条综合地质队转型升级的成功路子。</w:t>
      </w:r>
    </w:p>
    <w:p>
      <w:pPr>
        <w:widowControl/>
        <w:numPr>
          <w:ilvl w:val="0"/>
          <w:numId w:val="2"/>
        </w:numPr>
        <w:ind w:firstLine="630" w:firstLineChars="196"/>
        <w:rPr>
          <w:rFonts w:hint="eastAsia" w:ascii="仿宋_GB2312" w:hAnsi="宋体" w:eastAsia="仿宋_GB2312" w:cs="宋体"/>
          <w:b w:val="0"/>
          <w:bCs/>
          <w:kern w:val="0"/>
          <w:sz w:val="32"/>
          <w:szCs w:val="32"/>
          <w:lang w:val="en-US" w:eastAsia="zh-CN"/>
        </w:rPr>
      </w:pPr>
      <w:r>
        <w:rPr>
          <w:rFonts w:hint="eastAsia" w:ascii="仿宋_GB2312" w:hAnsi="宋体" w:eastAsia="仿宋_GB2312" w:cs="宋体"/>
          <w:b/>
          <w:bCs w:val="0"/>
          <w:kern w:val="0"/>
          <w:sz w:val="32"/>
          <w:szCs w:val="32"/>
          <w:lang w:val="en-US" w:eastAsia="zh-CN"/>
        </w:rPr>
        <w:t>坚持两手抓、两手硬，防疫发展齐头并进。始终将新冠疫情防控作为最大政治任务，</w:t>
      </w:r>
      <w:r>
        <w:rPr>
          <w:rFonts w:hint="eastAsia" w:ascii="仿宋_GB2312" w:hAnsi="宋体" w:eastAsia="仿宋_GB2312" w:cs="宋体"/>
          <w:b w:val="0"/>
          <w:bCs/>
          <w:kern w:val="0"/>
          <w:sz w:val="32"/>
          <w:szCs w:val="32"/>
          <w:lang w:val="en-US" w:eastAsia="zh-CN"/>
        </w:rPr>
        <w:t>严格落实“外防输入、内防反弹”要求，落实专项资金购买防疫物资，常态化开展日常消杀、体温检测等预防工作，组织一线干部职工优先接种新冠疫苗，确保了3000余名干部职工及家属未发生1例疑似病例。</w:t>
      </w:r>
      <w:r>
        <w:rPr>
          <w:rFonts w:hint="eastAsia" w:ascii="仿宋_GB2312" w:hAnsi="宋体" w:eastAsia="仿宋_GB2312" w:cs="宋体"/>
          <w:b/>
          <w:bCs w:val="0"/>
          <w:kern w:val="0"/>
          <w:sz w:val="32"/>
          <w:szCs w:val="32"/>
          <w:lang w:val="en-US" w:eastAsia="zh-CN"/>
        </w:rPr>
        <w:t>始终保持专注发展定力，毫不松懈抓好复工复产</w:t>
      </w:r>
      <w:r>
        <w:rPr>
          <w:rFonts w:hint="eastAsia" w:ascii="仿宋_GB2312" w:hAnsi="宋体" w:eastAsia="仿宋_GB2312" w:cs="宋体"/>
          <w:b w:val="0"/>
          <w:bCs/>
          <w:kern w:val="0"/>
          <w:sz w:val="32"/>
          <w:szCs w:val="32"/>
          <w:lang w:val="en-US" w:eastAsia="zh-CN"/>
        </w:rPr>
        <w:t>，职工人均年收入9.03万元、同比增长5.4%；全面完成局下达的2020年各项任务指标。</w:t>
      </w:r>
    </w:p>
    <w:p>
      <w:pPr>
        <w:keepNext w:val="0"/>
        <w:keepLines w:val="0"/>
        <w:pageBreakBefore w:val="0"/>
        <w:widowControl w:val="0"/>
        <w:kinsoku/>
        <w:wordWrap/>
        <w:overflowPunct/>
        <w:topLinePunct w:val="0"/>
        <w:autoSpaceDE/>
        <w:autoSpaceDN/>
        <w:bidi w:val="0"/>
        <w:spacing w:line="550" w:lineRule="exact"/>
        <w:ind w:firstLine="643" w:firstLineChars="200"/>
        <w:jc w:val="left"/>
        <w:textAlignment w:val="auto"/>
        <w:rPr>
          <w:rFonts w:hint="eastAsia" w:ascii="仿宋_GB2312" w:hAnsi="宋体" w:eastAsia="仿宋_GB2312" w:cs="宋体"/>
          <w:bCs/>
          <w:kern w:val="0"/>
          <w:sz w:val="32"/>
          <w:szCs w:val="32"/>
          <w:lang w:val="en-US" w:eastAsia="zh-CN"/>
        </w:rPr>
      </w:pPr>
      <w:r>
        <w:rPr>
          <w:rFonts w:hint="eastAsia" w:eastAsia="楷体" w:cs="Times New Roman"/>
          <w:b/>
          <w:bCs/>
          <w:color w:val="auto"/>
          <w:sz w:val="32"/>
          <w:szCs w:val="32"/>
          <w:highlight w:val="none"/>
          <w:lang w:val="en-US" w:eastAsia="zh-CN"/>
        </w:rPr>
        <w:t>2、</w:t>
      </w:r>
      <w:r>
        <w:rPr>
          <w:rFonts w:hint="default" w:ascii="Times New Roman" w:hAnsi="Times New Roman" w:eastAsia="楷体" w:cs="Times New Roman"/>
          <w:b/>
          <w:bCs/>
          <w:color w:val="auto"/>
          <w:sz w:val="32"/>
          <w:szCs w:val="32"/>
          <w:highlight w:val="none"/>
          <w:lang w:val="en-US" w:eastAsia="zh-CN"/>
        </w:rPr>
        <w:t>坚持固根基、拓领域，产业结构不断优化。</w:t>
      </w:r>
      <w:r>
        <w:rPr>
          <w:rFonts w:hint="default" w:ascii="Times New Roman" w:hAnsi="Times New Roman" w:eastAsia="方正仿宋_GBK" w:cs="Times New Roman"/>
          <w:color w:val="auto"/>
          <w:sz w:val="32"/>
          <w:szCs w:val="32"/>
          <w:highlight w:val="none"/>
          <w:lang w:val="en-US" w:eastAsia="zh-CN"/>
        </w:rPr>
        <w:t>全年共签订合同341项</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lang w:val="en-US" w:eastAsia="zh-CN"/>
        </w:rPr>
        <w:t>从合同金额看</w:t>
      </w:r>
      <w:r>
        <w:rPr>
          <w:rFonts w:hint="eastAsia" w:ascii="Times New Roman" w:hAnsi="Times New Roman" w:eastAsia="方正仿宋_GBK" w:cs="Times New Roman"/>
          <w:b/>
          <w:bCs/>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同比增长34.24%，除石头坑德铜镍矿普查、白尕湖铁矿外围普查等续作项目</w:t>
      </w:r>
      <w:r>
        <w:rPr>
          <w:rFonts w:hint="default" w:ascii="Times New Roman" w:hAnsi="Times New Roman" w:eastAsia="仿宋_GB2312" w:cs="Times New Roman"/>
          <w:color w:val="auto"/>
          <w:sz w:val="32"/>
          <w:szCs w:val="32"/>
          <w:lang w:val="en-US" w:eastAsia="zh-CN"/>
        </w:rPr>
        <w:t>，涉及文化旅游、农业农村、生态环境、城镇建设、应急保障各领域，</w:t>
      </w:r>
      <w:r>
        <w:rPr>
          <w:rFonts w:hint="default" w:ascii="Times New Roman" w:hAnsi="Times New Roman" w:eastAsia="方正仿宋_GBK" w:cs="Times New Roman"/>
          <w:color w:val="auto"/>
          <w:sz w:val="32"/>
          <w:szCs w:val="32"/>
          <w:highlight w:val="none"/>
          <w:lang w:val="en-US" w:eastAsia="zh-CN"/>
        </w:rPr>
        <w:t>“地质+”战略得到深入实践</w:t>
      </w:r>
      <w:r>
        <w:rPr>
          <w:rFonts w:hint="default" w:ascii="Times New Roman" w:hAnsi="Times New Roman" w:eastAsia="仿宋_GB2312" w:cs="Times New Roman"/>
          <w:color w:val="auto"/>
          <w:sz w:val="32"/>
          <w:szCs w:val="32"/>
          <w:lang w:val="en-US" w:eastAsia="zh-CN"/>
        </w:rPr>
        <w:t>。</w:t>
      </w:r>
      <w:r>
        <w:rPr>
          <w:rFonts w:hint="eastAsia" w:ascii="仿宋_GB2312" w:hAnsi="宋体" w:eastAsia="仿宋_GB2312" w:cs="宋体"/>
          <w:b/>
          <w:bCs w:val="0"/>
          <w:kern w:val="0"/>
          <w:sz w:val="32"/>
          <w:szCs w:val="32"/>
          <w:lang w:val="en-US" w:eastAsia="zh-CN"/>
        </w:rPr>
        <w:t>始终把抓项目作为重中之重</w:t>
      </w:r>
      <w:r>
        <w:rPr>
          <w:rFonts w:hint="eastAsia" w:ascii="仿宋_GB2312" w:hAnsi="宋体" w:eastAsia="仿宋_GB2312" w:cs="宋体"/>
          <w:b w:val="0"/>
          <w:bCs/>
          <w:kern w:val="0"/>
          <w:sz w:val="32"/>
          <w:szCs w:val="32"/>
          <w:lang w:val="en-US" w:eastAsia="zh-CN"/>
        </w:rPr>
        <w:t>。项目对于生产经营来讲，就是劳动对象、就是“标靶”、就是经济增长的“定海神针”。</w:t>
      </w:r>
      <w:r>
        <w:rPr>
          <w:rFonts w:hint="eastAsia" w:ascii="仿宋_GB2312" w:hAnsi="宋体" w:eastAsia="仿宋_GB2312" w:cs="宋体"/>
          <w:bCs/>
          <w:kern w:val="0"/>
          <w:sz w:val="32"/>
          <w:szCs w:val="32"/>
          <w:lang w:val="en-US" w:eastAsia="zh-CN"/>
        </w:rPr>
        <w:t>市场领域不断拓展，我们紧贴国家发展战略、紧跟局党委“地质+”战略，开展增减挂钩项目。拓展新领域工作涉足水系综合整治项目等。</w:t>
      </w:r>
    </w:p>
    <w:p>
      <w:pPr>
        <w:pStyle w:val="6"/>
        <w:numPr>
          <w:ilvl w:val="0"/>
          <w:numId w:val="0"/>
        </w:numPr>
        <w:ind w:firstLine="602" w:firstLineChars="200"/>
        <w:rPr>
          <w:rFonts w:hint="eastAsia" w:ascii="仿宋_GB2312" w:hAnsi="宋体" w:eastAsia="仿宋_GB2312" w:cs="宋体"/>
          <w:bCs/>
          <w:kern w:val="0"/>
          <w:sz w:val="32"/>
          <w:szCs w:val="32"/>
          <w:lang w:val="en-US" w:eastAsia="zh-CN"/>
        </w:rPr>
      </w:pPr>
      <w:r>
        <w:rPr>
          <w:rFonts w:hint="eastAsia"/>
          <w:b/>
          <w:bCs/>
          <w:lang w:val="en-US" w:eastAsia="zh-CN"/>
        </w:rPr>
        <w:t>3.</w:t>
      </w:r>
      <w:r>
        <w:rPr>
          <w:rFonts w:hint="default" w:ascii="Times New Roman" w:hAnsi="Times New Roman" w:eastAsia="楷体" w:cs="Times New Roman"/>
          <w:b/>
          <w:bCs/>
          <w:color w:val="auto"/>
          <w:sz w:val="32"/>
          <w:szCs w:val="32"/>
          <w:highlight w:val="none"/>
          <w:lang w:val="en-US" w:eastAsia="zh-CN"/>
        </w:rPr>
        <w:t>坚持强管理、抓改革，队伍能力持续提升</w:t>
      </w:r>
      <w:r>
        <w:rPr>
          <w:rFonts w:hint="eastAsia"/>
          <w:b/>
          <w:bCs/>
          <w:lang w:val="en-US" w:eastAsia="zh-CN"/>
        </w:rPr>
        <w:t>。</w:t>
      </w:r>
      <w:r>
        <w:rPr>
          <w:rFonts w:hint="eastAsia" w:ascii="仿宋_GB2312" w:hAnsi="宋体" w:eastAsia="仿宋_GB2312" w:cs="宋体"/>
          <w:b/>
          <w:bCs w:val="0"/>
          <w:kern w:val="0"/>
          <w:sz w:val="32"/>
          <w:szCs w:val="32"/>
          <w:lang w:val="en-US" w:eastAsia="zh-CN"/>
        </w:rPr>
        <w:t>一是不断加强制度建设</w:t>
      </w:r>
      <w:r>
        <w:rPr>
          <w:rFonts w:hint="eastAsia" w:ascii="仿宋_GB2312" w:hAnsi="宋体" w:eastAsia="仿宋_GB2312" w:cs="宋体"/>
          <w:bCs/>
          <w:kern w:val="0"/>
          <w:sz w:val="32"/>
          <w:szCs w:val="32"/>
          <w:lang w:val="en-US" w:eastAsia="zh-CN"/>
        </w:rPr>
        <w:t>。修订完善内控制度，全面确保规范管理、规范经营。</w:t>
      </w:r>
      <w:r>
        <w:rPr>
          <w:rFonts w:hint="eastAsia" w:ascii="仿宋_GB2312" w:hAnsi="宋体" w:eastAsia="仿宋_GB2312" w:cs="宋体"/>
          <w:b/>
          <w:bCs w:val="0"/>
          <w:kern w:val="0"/>
          <w:sz w:val="32"/>
          <w:szCs w:val="32"/>
          <w:lang w:val="en-US" w:eastAsia="zh-CN"/>
        </w:rPr>
        <w:t>二是强力推进资质建设</w:t>
      </w:r>
      <w:r>
        <w:rPr>
          <w:rFonts w:hint="eastAsia" w:ascii="仿宋_GB2312" w:hAnsi="宋体" w:eastAsia="仿宋_GB2312" w:cs="宋体"/>
          <w:bCs/>
          <w:kern w:val="0"/>
          <w:sz w:val="32"/>
          <w:szCs w:val="32"/>
          <w:lang w:val="en-US" w:eastAsia="zh-CN"/>
        </w:rPr>
        <w:t>。获批水利水电施工总承包三级、河湖整治专业承包三级和工程勘察专业类乙级3项资质；完成地质灾害危险性评估、工程勘察、地质灾害治理工程（勘查、设计、施工）5项甲级资质的延续及换证工作；完成3A级招投标信用评级工作。</w:t>
      </w:r>
      <w:r>
        <w:rPr>
          <w:rFonts w:hint="eastAsia" w:ascii="仿宋_GB2312" w:hAnsi="宋体" w:eastAsia="仿宋_GB2312" w:cs="宋体"/>
          <w:b/>
          <w:bCs w:val="0"/>
          <w:kern w:val="0"/>
          <w:sz w:val="32"/>
          <w:szCs w:val="32"/>
          <w:lang w:val="en-US" w:eastAsia="zh-CN"/>
        </w:rPr>
        <w:t>三是扎实推进内部改革</w:t>
      </w:r>
      <w:r>
        <w:rPr>
          <w:rFonts w:hint="eastAsia" w:ascii="仿宋_GB2312" w:hAnsi="宋体" w:eastAsia="仿宋_GB2312" w:cs="宋体"/>
          <w:bCs/>
          <w:kern w:val="0"/>
          <w:sz w:val="32"/>
          <w:szCs w:val="32"/>
          <w:lang w:val="en-US" w:eastAsia="zh-CN"/>
        </w:rPr>
        <w:t>。推动科室人员绩效与实体绩效挂钩，解决了机关与实体收入“倒挂”问题；申报并获批挂牌成立“四川省固体矿产勘查开发研究院”，基本完成三院、地调所、资环院、技术质量部和劳模创新工作室整合入院工作，为厚植传统找矿优势、激发传统找矿专业技术力量活力打造了专门平台；蜀康公司公司制改制方案获局批准，初步完成公司组织架构搭建和队经营管理部人员分流；成立了四川中岩探地工程检测有限公司，为传统物探、测绘人员开辟新市场提供了新平台。</w:t>
      </w:r>
      <w:r>
        <w:rPr>
          <w:rFonts w:hint="eastAsia" w:ascii="仿宋_GB2312" w:hAnsi="宋体" w:eastAsia="仿宋_GB2312" w:cs="宋体"/>
          <w:b/>
          <w:bCs w:val="0"/>
          <w:kern w:val="0"/>
          <w:sz w:val="32"/>
          <w:szCs w:val="32"/>
          <w:lang w:val="en-US" w:eastAsia="zh-CN"/>
        </w:rPr>
        <w:t>四是持续深化科技创新</w:t>
      </w:r>
      <w:r>
        <w:rPr>
          <w:rFonts w:hint="eastAsia" w:ascii="仿宋_GB2312" w:hAnsi="宋体" w:eastAsia="仿宋_GB2312" w:cs="宋体"/>
          <w:bCs/>
          <w:kern w:val="0"/>
          <w:sz w:val="32"/>
          <w:szCs w:val="32"/>
          <w:lang w:val="en-US" w:eastAsia="zh-CN"/>
        </w:rPr>
        <w:t>。制定了《加强科技研发推动高质量发展管理办法》《科技创新、技术质量管理办法》，鼓励引导全队地质科技创新工作。</w:t>
      </w:r>
    </w:p>
    <w:p>
      <w:pPr>
        <w:pStyle w:val="6"/>
        <w:numPr>
          <w:ilvl w:val="0"/>
          <w:numId w:val="0"/>
        </w:numPr>
        <w:ind w:firstLine="640" w:firstLineChars="200"/>
        <w:rPr>
          <w:rFonts w:hint="eastAsia" w:ascii="仿宋_GB2312" w:hAnsi="宋体" w:eastAsia="仿宋_GB2312" w:cs="宋体"/>
          <w:bCs/>
          <w:kern w:val="0"/>
          <w:sz w:val="32"/>
          <w:szCs w:val="32"/>
          <w:lang w:val="en-US" w:eastAsia="zh-CN"/>
        </w:rPr>
      </w:pPr>
      <w:r>
        <w:rPr>
          <w:rFonts w:hint="eastAsia" w:hAnsi="宋体" w:cs="宋体"/>
          <w:bCs/>
          <w:kern w:val="0"/>
          <w:sz w:val="32"/>
          <w:szCs w:val="32"/>
          <w:lang w:val="en-US" w:eastAsia="zh-CN"/>
        </w:rPr>
        <w:t>4、</w:t>
      </w:r>
      <w:r>
        <w:rPr>
          <w:rFonts w:hint="eastAsia" w:ascii="仿宋_GB2312" w:hAnsi="宋体" w:eastAsia="仿宋_GB2312" w:cs="宋体"/>
          <w:b/>
          <w:bCs w:val="0"/>
          <w:kern w:val="0"/>
          <w:sz w:val="32"/>
          <w:szCs w:val="32"/>
          <w:lang w:val="en-US" w:eastAsia="zh-CN"/>
        </w:rPr>
        <w:t>坚持强引领、严纪律，党风政风持续向好。在加强思想政治建设上</w:t>
      </w:r>
      <w:r>
        <w:rPr>
          <w:rFonts w:hint="eastAsia" w:ascii="仿宋_GB2312" w:hAnsi="宋体" w:eastAsia="仿宋_GB2312" w:cs="宋体"/>
          <w:bCs/>
          <w:kern w:val="0"/>
          <w:sz w:val="32"/>
          <w:szCs w:val="32"/>
          <w:lang w:val="en-US" w:eastAsia="zh-CN"/>
        </w:rPr>
        <w:t>，全年聚焦“学懂弄通做实”习近平新时代中国特色社会主义思想，开展党委中心组学习、队领导带头讲党课、切实加强意识形态工作，多渠道多维度开展正面宣传引导。</w:t>
      </w:r>
      <w:r>
        <w:rPr>
          <w:rFonts w:hint="eastAsia" w:ascii="仿宋_GB2312" w:hAnsi="宋体" w:eastAsia="仿宋_GB2312" w:cs="宋体"/>
          <w:b/>
          <w:bCs w:val="0"/>
          <w:kern w:val="0"/>
          <w:sz w:val="32"/>
          <w:szCs w:val="32"/>
          <w:lang w:val="en-US" w:eastAsia="zh-CN"/>
        </w:rPr>
        <w:t>在加强基层组织建设上</w:t>
      </w:r>
      <w:r>
        <w:rPr>
          <w:rFonts w:hint="eastAsia" w:ascii="仿宋_GB2312" w:hAnsi="宋体" w:eastAsia="仿宋_GB2312" w:cs="宋体"/>
          <w:bCs/>
          <w:kern w:val="0"/>
          <w:sz w:val="32"/>
          <w:szCs w:val="32"/>
          <w:lang w:val="en-US" w:eastAsia="zh-CN"/>
        </w:rPr>
        <w:t>，组织入党积极分子、支部书记等参与党校相关各类培训教育。在加强干部队伍建设上，完成干部任职清理工作，免去已不在岗位的中层干部；考察选拔正科级干部、外派挂职干部2名；骆志红获评四川省地矿局青年五四奖章提名奖。</w:t>
      </w:r>
      <w:r>
        <w:rPr>
          <w:rFonts w:hint="eastAsia" w:ascii="仿宋_GB2312" w:hAnsi="宋体" w:eastAsia="仿宋_GB2312" w:cs="宋体"/>
          <w:b/>
          <w:bCs w:val="0"/>
          <w:kern w:val="0"/>
          <w:sz w:val="32"/>
          <w:szCs w:val="32"/>
          <w:lang w:val="en-US" w:eastAsia="zh-CN"/>
        </w:rPr>
        <w:t>在加强党风廉政建设上</w:t>
      </w:r>
      <w:r>
        <w:rPr>
          <w:rFonts w:hint="eastAsia" w:ascii="仿宋_GB2312" w:hAnsi="宋体" w:eastAsia="仿宋_GB2312" w:cs="宋体"/>
          <w:bCs/>
          <w:kern w:val="0"/>
          <w:sz w:val="32"/>
          <w:szCs w:val="32"/>
          <w:lang w:val="en-US" w:eastAsia="zh-CN"/>
        </w:rPr>
        <w:t>，开展完成领导干部个人事项报告工作和重点岗位廉政风险梳理排查工作；开展完成队领导“政治画像”工作；组织开展</w:t>
      </w:r>
      <w:r>
        <w:rPr>
          <w:rFonts w:hint="eastAsia" w:hAnsi="宋体" w:cs="宋体"/>
          <w:bCs/>
          <w:kern w:val="0"/>
          <w:sz w:val="32"/>
          <w:szCs w:val="32"/>
          <w:lang w:val="en-US" w:eastAsia="zh-CN"/>
        </w:rPr>
        <w:t>了</w:t>
      </w:r>
      <w:r>
        <w:rPr>
          <w:rFonts w:hint="eastAsia" w:ascii="仿宋_GB2312" w:hAnsi="宋体" w:eastAsia="仿宋_GB2312" w:cs="宋体"/>
          <w:bCs/>
          <w:kern w:val="0"/>
          <w:sz w:val="32"/>
          <w:szCs w:val="32"/>
          <w:lang w:val="en-US" w:eastAsia="zh-CN"/>
        </w:rPr>
        <w:t>中层以上干部集体廉政谈话；组织观看</w:t>
      </w:r>
      <w:r>
        <w:rPr>
          <w:rFonts w:hint="eastAsia" w:hAnsi="宋体" w:cs="宋体"/>
          <w:bCs/>
          <w:kern w:val="0"/>
          <w:sz w:val="32"/>
          <w:szCs w:val="32"/>
          <w:lang w:val="en-US" w:eastAsia="zh-CN"/>
        </w:rPr>
        <w:t>了</w:t>
      </w:r>
      <w:r>
        <w:rPr>
          <w:rFonts w:hint="eastAsia" w:ascii="仿宋_GB2312" w:hAnsi="宋体" w:eastAsia="仿宋_GB2312" w:cs="宋体"/>
          <w:bCs/>
          <w:kern w:val="0"/>
          <w:sz w:val="32"/>
          <w:szCs w:val="32"/>
          <w:lang w:val="en-US" w:eastAsia="zh-CN"/>
        </w:rPr>
        <w:t>警示教育片。</w:t>
      </w:r>
    </w:p>
    <w:p>
      <w:pPr>
        <w:pStyle w:val="6"/>
        <w:numPr>
          <w:ilvl w:val="0"/>
          <w:numId w:val="0"/>
        </w:numPr>
        <w:ind w:firstLine="640" w:firstLineChars="200"/>
        <w:rPr>
          <w:rFonts w:hint="eastAsia" w:ascii="仿宋_GB2312" w:hAnsi="宋体" w:eastAsia="仿宋_GB2312" w:cs="宋体"/>
          <w:bCs/>
          <w:kern w:val="0"/>
          <w:sz w:val="32"/>
          <w:szCs w:val="32"/>
          <w:lang w:val="en-US" w:eastAsia="zh-CN"/>
        </w:rPr>
      </w:pPr>
    </w:p>
    <w:p>
      <w:pPr>
        <w:pStyle w:val="2"/>
        <w:numPr>
          <w:ilvl w:val="0"/>
          <w:numId w:val="3"/>
        </w:numPr>
        <w:ind w:left="0" w:leftChars="0" w:firstLine="0" w:firstLineChars="0"/>
        <w:rPr>
          <w:rFonts w:hint="eastAsia" w:ascii="黑体" w:hAnsi="黑体" w:eastAsia="黑体" w:cstheme="majorBidi"/>
          <w:b w:val="0"/>
          <w:bCs/>
          <w:color w:val="auto"/>
          <w:kern w:val="2"/>
          <w:sz w:val="32"/>
          <w:szCs w:val="32"/>
          <w:highlight w:val="none"/>
          <w:lang w:val="en-US" w:eastAsia="zh-CN" w:bidi="ar-SA"/>
        </w:rPr>
      </w:pPr>
      <w:r>
        <w:rPr>
          <w:rFonts w:hint="eastAsia" w:ascii="黑体" w:hAnsi="黑体" w:eastAsia="黑体" w:cstheme="majorBidi"/>
          <w:b w:val="0"/>
          <w:bCs/>
          <w:color w:val="auto"/>
          <w:kern w:val="2"/>
          <w:sz w:val="32"/>
          <w:szCs w:val="32"/>
          <w:highlight w:val="none"/>
          <w:lang w:val="en-US" w:eastAsia="zh-CN" w:bidi="ar-SA"/>
        </w:rPr>
        <w:t>机构设置情况</w:t>
      </w:r>
    </w:p>
    <w:p>
      <w:pPr>
        <w:pStyle w:val="2"/>
        <w:numPr>
          <w:numId w:val="0"/>
        </w:numPr>
        <w:ind w:leftChars="0"/>
        <w:rPr>
          <w:rFonts w:hint="eastAsia" w:ascii="黑体" w:hAnsi="黑体" w:eastAsia="黑体" w:cstheme="majorBidi"/>
          <w:b w:val="0"/>
          <w:bCs/>
          <w:color w:val="auto"/>
          <w:kern w:val="2"/>
          <w:sz w:val="32"/>
          <w:szCs w:val="32"/>
          <w:highlight w:val="none"/>
          <w:lang w:val="en-US" w:eastAsia="zh-CN" w:bidi="ar-SA"/>
        </w:rPr>
      </w:pPr>
    </w:p>
    <w:p>
      <w:pPr>
        <w:pStyle w:val="6"/>
        <w:numPr>
          <w:ilvl w:val="0"/>
          <w:numId w:val="0"/>
        </w:numPr>
        <w:ind w:firstLine="640" w:firstLineChars="200"/>
        <w:rPr>
          <w:rFonts w:hint="eastAsia" w:ascii="仿宋_GB2312" w:hAnsi="宋体" w:eastAsia="仿宋_GB2312" w:cs="宋体"/>
          <w:bCs/>
          <w:kern w:val="0"/>
          <w:sz w:val="32"/>
          <w:szCs w:val="32"/>
          <w:lang w:val="en-US" w:eastAsia="zh-CN"/>
        </w:rPr>
      </w:pPr>
      <w:r>
        <w:rPr>
          <w:rFonts w:hint="eastAsia" w:ascii="仿宋_GB2312" w:hAnsi="宋体" w:eastAsia="仿宋_GB2312" w:cs="宋体"/>
          <w:bCs/>
          <w:kern w:val="0"/>
          <w:sz w:val="32"/>
          <w:szCs w:val="32"/>
          <w:lang w:val="en-US" w:eastAsia="zh-CN"/>
        </w:rPr>
        <w:t>大队设置1</w:t>
      </w:r>
      <w:r>
        <w:rPr>
          <w:rFonts w:hint="eastAsia" w:hAnsi="宋体" w:cs="宋体"/>
          <w:bCs/>
          <w:kern w:val="0"/>
          <w:sz w:val="32"/>
          <w:szCs w:val="32"/>
          <w:lang w:val="en-US" w:eastAsia="zh-CN"/>
        </w:rPr>
        <w:t>6</w:t>
      </w:r>
      <w:r>
        <w:rPr>
          <w:rFonts w:hint="eastAsia" w:ascii="仿宋_GB2312" w:hAnsi="宋体" w:eastAsia="仿宋_GB2312" w:cs="宋体"/>
          <w:bCs/>
          <w:kern w:val="0"/>
          <w:sz w:val="32"/>
          <w:szCs w:val="32"/>
          <w:lang w:val="en-US" w:eastAsia="zh-CN"/>
        </w:rPr>
        <w:t>个部门，分别是：</w:t>
      </w:r>
      <w:r>
        <w:rPr>
          <w:rFonts w:hint="eastAsia" w:hAnsi="宋体" w:cs="宋体"/>
          <w:bCs/>
          <w:kern w:val="0"/>
          <w:sz w:val="32"/>
          <w:szCs w:val="32"/>
          <w:lang w:val="en-US" w:eastAsia="zh-CN"/>
        </w:rPr>
        <w:t>队办</w:t>
      </w:r>
      <w:r>
        <w:rPr>
          <w:rFonts w:hint="eastAsia" w:ascii="仿宋_GB2312" w:hAnsi="宋体" w:eastAsia="仿宋_GB2312" w:cs="宋体"/>
          <w:bCs/>
          <w:kern w:val="0"/>
          <w:sz w:val="32"/>
          <w:szCs w:val="32"/>
          <w:lang w:val="en-US" w:eastAsia="zh-CN"/>
        </w:rPr>
        <w:t>、党办、纪检办、工会办、审计科、劳人科、离退休科、财务科、</w:t>
      </w:r>
      <w:r>
        <w:rPr>
          <w:rFonts w:hint="eastAsia" w:hAnsi="宋体" w:cs="宋体"/>
          <w:bCs/>
          <w:kern w:val="0"/>
          <w:sz w:val="32"/>
          <w:szCs w:val="32"/>
          <w:lang w:val="en-US" w:eastAsia="zh-CN"/>
        </w:rPr>
        <w:t>经营部、</w:t>
      </w:r>
      <w:r>
        <w:rPr>
          <w:rFonts w:hint="eastAsia" w:ascii="仿宋_GB2312" w:hAnsi="宋体" w:eastAsia="仿宋_GB2312" w:cs="宋体"/>
          <w:bCs/>
          <w:kern w:val="0"/>
          <w:sz w:val="32"/>
          <w:szCs w:val="32"/>
          <w:lang w:val="en-US" w:eastAsia="zh-CN"/>
        </w:rPr>
        <w:t>技术质量管理部、安全生产管理科、物业中心、地调所、</w:t>
      </w:r>
      <w:r>
        <w:rPr>
          <w:rFonts w:hint="eastAsia" w:hAnsi="宋体" w:cs="宋体"/>
          <w:bCs/>
          <w:kern w:val="0"/>
          <w:sz w:val="32"/>
          <w:szCs w:val="32"/>
          <w:lang w:val="en-US" w:eastAsia="zh-CN"/>
        </w:rPr>
        <w:t>自然</w:t>
      </w:r>
      <w:r>
        <w:rPr>
          <w:rFonts w:hint="eastAsia" w:ascii="仿宋_GB2312" w:hAnsi="宋体" w:eastAsia="仿宋_GB2312" w:cs="宋体"/>
          <w:bCs/>
          <w:kern w:val="0"/>
          <w:sz w:val="32"/>
          <w:szCs w:val="32"/>
          <w:lang w:val="en-US" w:eastAsia="zh-CN"/>
        </w:rPr>
        <w:t>资源环境工程</w:t>
      </w:r>
      <w:r>
        <w:rPr>
          <w:rFonts w:hint="eastAsia" w:hAnsi="宋体" w:cs="宋体"/>
          <w:bCs/>
          <w:kern w:val="0"/>
          <w:sz w:val="32"/>
          <w:szCs w:val="32"/>
          <w:lang w:val="en-US" w:eastAsia="zh-CN"/>
        </w:rPr>
        <w:t>研究所</w:t>
      </w:r>
      <w:r>
        <w:rPr>
          <w:rFonts w:hint="eastAsia" w:ascii="仿宋_GB2312" w:hAnsi="宋体" w:eastAsia="仿宋_GB2312" w:cs="宋体"/>
          <w:bCs/>
          <w:kern w:val="0"/>
          <w:sz w:val="32"/>
          <w:szCs w:val="32"/>
          <w:lang w:val="en-US" w:eastAsia="zh-CN"/>
        </w:rPr>
        <w:t>、</w:t>
      </w:r>
      <w:r>
        <w:rPr>
          <w:rFonts w:hint="eastAsia" w:hAnsi="宋体" w:cs="宋体"/>
          <w:bCs/>
          <w:kern w:val="0"/>
          <w:sz w:val="32"/>
          <w:szCs w:val="32"/>
          <w:lang w:val="en-US" w:eastAsia="zh-CN"/>
        </w:rPr>
        <w:t>地勘三院</w:t>
      </w:r>
      <w:r>
        <w:rPr>
          <w:rFonts w:hint="eastAsia" w:ascii="仿宋_GB2312" w:hAnsi="宋体" w:eastAsia="仿宋_GB2312" w:cs="宋体"/>
          <w:bCs/>
          <w:kern w:val="0"/>
          <w:sz w:val="32"/>
          <w:szCs w:val="32"/>
          <w:lang w:val="en-US" w:eastAsia="zh-CN"/>
        </w:rPr>
        <w:t>及地理信息中心。</w:t>
      </w:r>
    </w:p>
    <w:p>
      <w:pPr>
        <w:pStyle w:val="6"/>
        <w:numPr>
          <w:ilvl w:val="0"/>
          <w:numId w:val="0"/>
        </w:numPr>
        <w:ind w:firstLine="640" w:firstLineChars="200"/>
        <w:rPr>
          <w:rFonts w:hint="eastAsia" w:ascii="仿宋_GB2312" w:hAnsi="宋体" w:eastAsia="仿宋_GB2312" w:cs="宋体"/>
          <w:bCs/>
          <w:kern w:val="0"/>
          <w:sz w:val="32"/>
          <w:szCs w:val="32"/>
          <w:lang w:val="en-US" w:eastAsia="zh-CN"/>
        </w:rPr>
      </w:pPr>
      <w:bookmarkStart w:id="64" w:name="_GoBack"/>
      <w:bookmarkEnd w:id="64"/>
    </w:p>
    <w:p>
      <w:pPr>
        <w:pStyle w:val="6"/>
        <w:numPr>
          <w:ilvl w:val="0"/>
          <w:numId w:val="0"/>
        </w:numPr>
        <w:ind w:firstLine="640" w:firstLineChars="200"/>
        <w:rPr>
          <w:rFonts w:hint="eastAsia" w:ascii="仿宋_GB2312" w:hAnsi="宋体" w:eastAsia="仿宋_GB2312" w:cs="宋体"/>
          <w:bCs/>
          <w:kern w:val="0"/>
          <w:sz w:val="32"/>
          <w:szCs w:val="32"/>
          <w:lang w:val="en-US" w:eastAsia="zh-CN"/>
        </w:rPr>
      </w:pPr>
    </w:p>
    <w:p>
      <w:pPr>
        <w:pStyle w:val="6"/>
        <w:numPr>
          <w:ilvl w:val="0"/>
          <w:numId w:val="0"/>
        </w:numPr>
        <w:ind w:firstLine="640" w:firstLineChars="200"/>
        <w:rPr>
          <w:rFonts w:hint="eastAsia" w:ascii="仿宋_GB2312" w:hAnsi="宋体" w:eastAsia="仿宋_GB2312" w:cs="宋体"/>
          <w:bCs/>
          <w:kern w:val="0"/>
          <w:sz w:val="32"/>
          <w:szCs w:val="32"/>
          <w:lang w:val="en-US" w:eastAsia="zh-CN"/>
        </w:rPr>
      </w:pPr>
    </w:p>
    <w:p>
      <w:pPr>
        <w:pStyle w:val="6"/>
        <w:numPr>
          <w:ilvl w:val="0"/>
          <w:numId w:val="0"/>
        </w:numPr>
        <w:ind w:firstLine="640" w:firstLineChars="200"/>
        <w:rPr>
          <w:rFonts w:hint="eastAsia" w:ascii="仿宋_GB2312" w:hAnsi="宋体" w:eastAsia="仿宋_GB2312" w:cs="宋体"/>
          <w:bCs/>
          <w:kern w:val="0"/>
          <w:sz w:val="32"/>
          <w:szCs w:val="32"/>
          <w:lang w:val="en-US" w:eastAsia="zh-CN"/>
        </w:rPr>
      </w:pPr>
    </w:p>
    <w:p>
      <w:pPr>
        <w:pStyle w:val="6"/>
        <w:numPr>
          <w:ilvl w:val="0"/>
          <w:numId w:val="0"/>
        </w:numPr>
        <w:ind w:firstLine="640" w:firstLineChars="200"/>
        <w:rPr>
          <w:rFonts w:hint="eastAsia" w:ascii="仿宋_GB2312" w:hAnsi="宋体" w:eastAsia="仿宋_GB2312" w:cs="宋体"/>
          <w:bCs/>
          <w:kern w:val="0"/>
          <w:sz w:val="32"/>
          <w:szCs w:val="32"/>
          <w:lang w:val="en-US" w:eastAsia="zh-CN"/>
        </w:rPr>
      </w:pPr>
    </w:p>
    <w:p>
      <w:pPr>
        <w:pStyle w:val="6"/>
        <w:numPr>
          <w:ilvl w:val="0"/>
          <w:numId w:val="0"/>
        </w:numPr>
        <w:ind w:firstLine="640" w:firstLineChars="200"/>
        <w:rPr>
          <w:rFonts w:hint="eastAsia" w:ascii="仿宋_GB2312" w:hAnsi="宋体" w:eastAsia="仿宋_GB2312" w:cs="宋体"/>
          <w:bCs/>
          <w:kern w:val="0"/>
          <w:sz w:val="32"/>
          <w:szCs w:val="32"/>
          <w:lang w:val="en-US" w:eastAsia="zh-CN"/>
        </w:rPr>
      </w:pPr>
    </w:p>
    <w:p>
      <w:pPr>
        <w:pStyle w:val="6"/>
        <w:numPr>
          <w:ilvl w:val="0"/>
          <w:numId w:val="0"/>
        </w:numPr>
        <w:ind w:firstLine="640" w:firstLineChars="200"/>
        <w:rPr>
          <w:rFonts w:hint="eastAsia" w:ascii="仿宋_GB2312" w:hAnsi="宋体" w:eastAsia="仿宋_GB2312" w:cs="宋体"/>
          <w:bCs/>
          <w:kern w:val="0"/>
          <w:sz w:val="32"/>
          <w:szCs w:val="32"/>
          <w:lang w:val="en-US" w:eastAsia="zh-CN"/>
        </w:rPr>
      </w:pPr>
    </w:p>
    <w:p>
      <w:pPr>
        <w:pStyle w:val="6"/>
        <w:numPr>
          <w:ilvl w:val="0"/>
          <w:numId w:val="0"/>
        </w:numPr>
        <w:ind w:firstLine="640" w:firstLineChars="200"/>
        <w:rPr>
          <w:rFonts w:hint="eastAsia" w:ascii="仿宋_GB2312" w:hAnsi="宋体" w:eastAsia="仿宋_GB2312" w:cs="宋体"/>
          <w:bCs/>
          <w:kern w:val="0"/>
          <w:sz w:val="32"/>
          <w:szCs w:val="32"/>
          <w:lang w:val="en-US" w:eastAsia="zh-CN"/>
        </w:rPr>
      </w:pPr>
    </w:p>
    <w:p>
      <w:pPr>
        <w:pStyle w:val="6"/>
        <w:numPr>
          <w:ilvl w:val="0"/>
          <w:numId w:val="0"/>
        </w:numPr>
        <w:ind w:firstLine="640" w:firstLineChars="200"/>
        <w:rPr>
          <w:rFonts w:hint="eastAsia" w:ascii="仿宋_GB2312" w:hAnsi="宋体" w:eastAsia="仿宋_GB2312" w:cs="宋体"/>
          <w:bCs/>
          <w:kern w:val="0"/>
          <w:sz w:val="32"/>
          <w:szCs w:val="32"/>
          <w:lang w:val="en-US" w:eastAsia="zh-CN"/>
        </w:rPr>
      </w:pPr>
    </w:p>
    <w:p>
      <w:pPr>
        <w:pStyle w:val="3"/>
        <w:ind w:right="440"/>
        <w:jc w:val="center"/>
        <w:rPr>
          <w:rStyle w:val="25"/>
          <w:rFonts w:ascii="黑体" w:hAnsi="黑体" w:eastAsia="黑体"/>
          <w:b w:val="0"/>
          <w:bCs/>
          <w:color w:val="auto"/>
        </w:rPr>
      </w:pPr>
      <w:bookmarkStart w:id="16" w:name="_Toc15377204"/>
      <w:bookmarkStart w:id="17" w:name="_Toc15396602"/>
      <w:r>
        <w:rPr>
          <w:rFonts w:hint="eastAsia" w:ascii="黑体" w:hAnsi="黑体" w:eastAsia="黑体"/>
          <w:b w:val="0"/>
          <w:bCs/>
          <w:color w:val="auto"/>
        </w:rPr>
        <w:t xml:space="preserve">第二部分 </w:t>
      </w:r>
      <w:r>
        <w:rPr>
          <w:rFonts w:hint="eastAsia" w:ascii="黑体" w:hAnsi="黑体" w:eastAsia="黑体"/>
          <w:b w:val="0"/>
          <w:bCs/>
          <w:color w:val="auto"/>
          <w:lang w:val="en-US" w:eastAsia="zh-CN"/>
        </w:rPr>
        <w:t>2020年度</w:t>
      </w:r>
      <w:r>
        <w:rPr>
          <w:rStyle w:val="25"/>
          <w:rFonts w:hint="eastAsia" w:ascii="黑体" w:hAnsi="黑体" w:eastAsia="黑体"/>
          <w:b w:val="0"/>
          <w:bCs/>
          <w:color w:val="auto"/>
          <w:lang w:eastAsia="zh-CN"/>
        </w:rPr>
        <w:t>单位</w:t>
      </w:r>
      <w:r>
        <w:rPr>
          <w:rStyle w:val="25"/>
          <w:rFonts w:hint="eastAsia" w:ascii="黑体" w:hAnsi="黑体" w:eastAsia="黑体"/>
          <w:b w:val="0"/>
          <w:bCs/>
          <w:color w:val="auto"/>
        </w:rPr>
        <w:t>决算情况说明</w:t>
      </w:r>
      <w:bookmarkEnd w:id="16"/>
      <w:bookmarkEnd w:id="17"/>
    </w:p>
    <w:p>
      <w:pPr>
        <w:rPr>
          <w:color w:val="auto"/>
        </w:rPr>
      </w:pPr>
    </w:p>
    <w:p>
      <w:pPr>
        <w:pStyle w:val="24"/>
        <w:numPr>
          <w:ilvl w:val="0"/>
          <w:numId w:val="4"/>
        </w:numPr>
        <w:spacing w:line="600" w:lineRule="exact"/>
        <w:ind w:firstLineChars="0"/>
        <w:outlineLvl w:val="1"/>
        <w:rPr>
          <w:rStyle w:val="26"/>
          <w:rFonts w:ascii="黑体" w:hAnsi="黑体" w:eastAsia="黑体"/>
          <w:b w:val="0"/>
          <w:color w:val="auto"/>
        </w:rPr>
      </w:pPr>
      <w:bookmarkStart w:id="18" w:name="_Toc15396603"/>
      <w:bookmarkStart w:id="19" w:name="_Toc15377205"/>
      <w:r>
        <w:rPr>
          <w:rFonts w:hint="eastAsia" w:ascii="黑体" w:hAnsi="黑体" w:eastAsia="黑体"/>
          <w:color w:val="auto"/>
          <w:sz w:val="32"/>
          <w:szCs w:val="32"/>
        </w:rPr>
        <w:t>收</w:t>
      </w:r>
      <w:r>
        <w:rPr>
          <w:rStyle w:val="26"/>
          <w:rFonts w:hint="eastAsia" w:ascii="黑体" w:hAnsi="黑体" w:eastAsia="黑体"/>
          <w:b w:val="0"/>
          <w:color w:val="auto"/>
        </w:rPr>
        <w:t>入支出决算总体情况说明</w:t>
      </w:r>
      <w:bookmarkEnd w:id="18"/>
      <w:bookmarkEnd w:id="19"/>
    </w:p>
    <w:p>
      <w:pPr>
        <w:spacing w:line="60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年度</w:t>
      </w:r>
      <w:r>
        <w:rPr>
          <w:rFonts w:hint="eastAsia" w:ascii="仿宋" w:hAnsi="仿宋" w:eastAsia="仿宋"/>
          <w:color w:val="000000"/>
          <w:sz w:val="32"/>
          <w:szCs w:val="32"/>
        </w:rPr>
        <w:t>收支总计</w:t>
      </w:r>
      <w:r>
        <w:rPr>
          <w:rFonts w:hint="eastAsia" w:ascii="仿宋" w:hAnsi="仿宋" w:eastAsia="仿宋"/>
          <w:color w:val="auto"/>
          <w:sz w:val="32"/>
          <w:szCs w:val="32"/>
          <w:lang w:val="en-US" w:eastAsia="zh-CN"/>
        </w:rPr>
        <w:t>29857.80万元</w:t>
      </w:r>
      <w:r>
        <w:rPr>
          <w:rFonts w:hint="eastAsia" w:ascii="仿宋" w:hAnsi="仿宋" w:eastAsia="仿宋"/>
          <w:color w:val="auto"/>
          <w:sz w:val="32"/>
          <w:szCs w:val="32"/>
        </w:rPr>
        <w:t>。与201</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年相比，收</w:t>
      </w:r>
      <w:r>
        <w:rPr>
          <w:rFonts w:hint="eastAsia" w:ascii="仿宋" w:hAnsi="仿宋" w:eastAsia="仿宋"/>
          <w:color w:val="auto"/>
          <w:sz w:val="32"/>
          <w:szCs w:val="32"/>
          <w:lang w:eastAsia="zh-CN"/>
        </w:rPr>
        <w:t>入</w:t>
      </w:r>
      <w:r>
        <w:rPr>
          <w:rFonts w:hint="eastAsia" w:ascii="仿宋" w:hAnsi="仿宋" w:eastAsia="仿宋"/>
          <w:color w:val="auto"/>
          <w:sz w:val="32"/>
          <w:szCs w:val="32"/>
        </w:rPr>
        <w:t>增加</w:t>
      </w:r>
      <w:r>
        <w:rPr>
          <w:rFonts w:hint="eastAsia" w:ascii="仿宋" w:hAnsi="仿宋" w:eastAsia="仿宋"/>
          <w:color w:val="auto"/>
          <w:sz w:val="32"/>
          <w:szCs w:val="32"/>
          <w:lang w:val="en-US" w:eastAsia="zh-CN"/>
        </w:rPr>
        <w:t>22343.24万元</w:t>
      </w:r>
      <w:r>
        <w:rPr>
          <w:rFonts w:hint="eastAsia" w:ascii="仿宋" w:hAnsi="仿宋" w:eastAsia="仿宋"/>
          <w:color w:val="auto"/>
          <w:sz w:val="32"/>
          <w:szCs w:val="32"/>
          <w:lang w:eastAsia="zh-CN"/>
        </w:rPr>
        <w:t>。</w:t>
      </w:r>
      <w:r>
        <w:rPr>
          <w:rFonts w:hint="eastAsia" w:ascii="仿宋" w:hAnsi="仿宋" w:eastAsia="仿宋"/>
          <w:color w:val="auto"/>
          <w:sz w:val="32"/>
          <w:szCs w:val="32"/>
        </w:rPr>
        <w:t>增长</w:t>
      </w:r>
      <w:r>
        <w:rPr>
          <w:rFonts w:hint="eastAsia" w:ascii="仿宋" w:hAnsi="仿宋" w:eastAsia="仿宋"/>
          <w:color w:val="auto"/>
          <w:sz w:val="32"/>
          <w:szCs w:val="32"/>
          <w:lang w:val="en-US" w:eastAsia="zh-CN"/>
        </w:rPr>
        <w:t>297.33</w:t>
      </w:r>
      <w:r>
        <w:rPr>
          <w:rFonts w:ascii="仿宋" w:hAnsi="仿宋" w:eastAsia="仿宋"/>
          <w:color w:val="auto"/>
          <w:sz w:val="32"/>
          <w:szCs w:val="32"/>
        </w:rPr>
        <w:t>%</w:t>
      </w:r>
      <w:r>
        <w:rPr>
          <w:rFonts w:hint="eastAsia" w:ascii="仿宋" w:hAnsi="仿宋" w:eastAsia="仿宋"/>
          <w:color w:val="auto"/>
          <w:sz w:val="32"/>
          <w:szCs w:val="32"/>
        </w:rPr>
        <w:t>。主要变动原因是</w:t>
      </w:r>
      <w:r>
        <w:rPr>
          <w:rFonts w:hint="eastAsia" w:ascii="仿宋" w:hAnsi="仿宋" w:eastAsia="仿宋"/>
          <w:color w:val="auto"/>
          <w:sz w:val="32"/>
          <w:szCs w:val="32"/>
          <w:lang w:eastAsia="zh-CN"/>
        </w:rPr>
        <w:t>银行贷款形成债务预算收入增加形成。</w:t>
      </w:r>
    </w:p>
    <w:p>
      <w:pPr>
        <w:spacing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（图</w:t>
      </w:r>
      <w:r>
        <w:rPr>
          <w:rFonts w:ascii="仿宋" w:hAnsi="仿宋" w:eastAsia="仿宋"/>
          <w:color w:val="auto"/>
          <w:sz w:val="32"/>
          <w:szCs w:val="32"/>
        </w:rPr>
        <w:t>1</w:t>
      </w:r>
      <w:r>
        <w:rPr>
          <w:rFonts w:hint="eastAsia" w:ascii="仿宋" w:hAnsi="仿宋" w:eastAsia="仿宋"/>
          <w:color w:val="auto"/>
          <w:sz w:val="32"/>
          <w:szCs w:val="32"/>
        </w:rPr>
        <w:t>：收、支决算总计变动情况图）（柱状图）</w:t>
      </w:r>
    </w:p>
    <w:p>
      <w:pPr>
        <w:pStyle w:val="6"/>
      </w:pPr>
      <w:r>
        <w:rPr>
          <w:rFonts w:ascii="宋体" w:hAnsi="宋体" w:eastAsia="宋体" w:cs="宋体"/>
          <w:sz w:val="24"/>
          <w:szCs w:val="24"/>
        </w:rPr>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jc w:val="left"/>
        <w:rPr>
          <w:rFonts w:ascii="仿宋_GB2312" w:eastAsia="仿宋_GB2312"/>
          <w:color w:val="auto"/>
          <w:sz w:val="32"/>
          <w:szCs w:val="32"/>
        </w:rPr>
      </w:pPr>
    </w:p>
    <w:p>
      <w:pPr>
        <w:pStyle w:val="24"/>
        <w:numPr>
          <w:ilvl w:val="0"/>
          <w:numId w:val="4"/>
        </w:numPr>
        <w:spacing w:line="600" w:lineRule="exact"/>
        <w:ind w:firstLineChars="0"/>
        <w:outlineLvl w:val="1"/>
        <w:rPr>
          <w:rStyle w:val="26"/>
          <w:rFonts w:ascii="黑体" w:hAnsi="黑体" w:eastAsia="黑体"/>
          <w:b w:val="0"/>
          <w:color w:val="auto"/>
        </w:rPr>
      </w:pPr>
      <w:bookmarkStart w:id="20" w:name="_Toc15396604"/>
      <w:bookmarkStart w:id="21" w:name="_Toc15377206"/>
      <w:r>
        <w:rPr>
          <w:rFonts w:hint="eastAsia" w:ascii="黑体" w:hAnsi="黑体" w:eastAsia="黑体"/>
          <w:color w:val="auto"/>
          <w:sz w:val="32"/>
          <w:szCs w:val="32"/>
        </w:rPr>
        <w:t>收</w:t>
      </w:r>
      <w:r>
        <w:rPr>
          <w:rStyle w:val="26"/>
          <w:rFonts w:hint="eastAsia" w:ascii="黑体" w:hAnsi="黑体" w:eastAsia="黑体"/>
          <w:b w:val="0"/>
          <w:color w:val="auto"/>
        </w:rPr>
        <w:t>入决算情况说明</w:t>
      </w:r>
      <w:bookmarkEnd w:id="20"/>
      <w:bookmarkEnd w:id="21"/>
    </w:p>
    <w:p>
      <w:pPr>
        <w:spacing w:line="600" w:lineRule="exact"/>
        <w:ind w:firstLine="640" w:firstLineChars="200"/>
        <w:outlineLvl w:val="1"/>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年本年收入合计</w:t>
      </w:r>
      <w:r>
        <w:rPr>
          <w:rFonts w:hint="eastAsia" w:ascii="仿宋" w:hAnsi="仿宋" w:eastAsia="仿宋"/>
          <w:color w:val="auto"/>
          <w:sz w:val="32"/>
          <w:szCs w:val="32"/>
          <w:lang w:val="en-US" w:eastAsia="zh-CN"/>
        </w:rPr>
        <w:t>29857.80</w:t>
      </w:r>
      <w:r>
        <w:rPr>
          <w:rFonts w:hint="eastAsia" w:ascii="仿宋" w:hAnsi="仿宋" w:eastAsia="仿宋"/>
          <w:color w:val="auto"/>
          <w:sz w:val="32"/>
          <w:szCs w:val="32"/>
        </w:rPr>
        <w:t>万元，其中：一般公共预算财政拨款收入</w:t>
      </w:r>
      <w:r>
        <w:rPr>
          <w:rFonts w:hint="eastAsia" w:ascii="仿宋" w:hAnsi="仿宋" w:eastAsia="仿宋"/>
          <w:color w:val="auto"/>
          <w:sz w:val="32"/>
          <w:szCs w:val="32"/>
          <w:lang w:val="en-US" w:eastAsia="zh-CN"/>
        </w:rPr>
        <w:t>5469.22</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18.32</w:t>
      </w:r>
      <w:r>
        <w:rPr>
          <w:rFonts w:ascii="仿宋" w:hAnsi="仿宋" w:eastAsia="仿宋"/>
          <w:color w:val="auto"/>
          <w:sz w:val="32"/>
          <w:szCs w:val="32"/>
        </w:rPr>
        <w:t>%</w:t>
      </w:r>
      <w:r>
        <w:rPr>
          <w:rFonts w:hint="eastAsia" w:ascii="仿宋" w:hAnsi="仿宋" w:eastAsia="仿宋"/>
          <w:color w:val="auto"/>
          <w:sz w:val="32"/>
          <w:szCs w:val="32"/>
        </w:rPr>
        <w:t>；政府性基金预算财政拨款收入</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；上级补助收入</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；事业收入</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；经营收入</w:t>
      </w:r>
      <w:r>
        <w:rPr>
          <w:rFonts w:hint="eastAsia" w:ascii="仿宋" w:hAnsi="仿宋" w:eastAsia="仿宋"/>
          <w:color w:val="auto"/>
          <w:sz w:val="32"/>
          <w:szCs w:val="32"/>
          <w:lang w:val="en-US" w:eastAsia="zh-CN"/>
        </w:rPr>
        <w:t>887.22</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2.97</w:t>
      </w:r>
      <w:r>
        <w:rPr>
          <w:rFonts w:ascii="仿宋" w:hAnsi="仿宋" w:eastAsia="仿宋"/>
          <w:color w:val="auto"/>
          <w:sz w:val="32"/>
          <w:szCs w:val="32"/>
        </w:rPr>
        <w:t>%</w:t>
      </w:r>
      <w:r>
        <w:rPr>
          <w:rFonts w:hint="eastAsia" w:ascii="仿宋" w:hAnsi="仿宋" w:eastAsia="仿宋"/>
          <w:color w:val="auto"/>
          <w:sz w:val="32"/>
          <w:szCs w:val="32"/>
        </w:rPr>
        <w:t>；附属单位上缴收入</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；其他收入</w:t>
      </w:r>
      <w:r>
        <w:rPr>
          <w:rFonts w:hint="eastAsia" w:ascii="仿宋" w:hAnsi="仿宋" w:eastAsia="仿宋"/>
          <w:color w:val="auto"/>
          <w:sz w:val="32"/>
          <w:szCs w:val="32"/>
          <w:lang w:val="en-US" w:eastAsia="zh-CN"/>
        </w:rPr>
        <w:t>23501.36</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78.71</w:t>
      </w:r>
      <w:r>
        <w:rPr>
          <w:rFonts w:ascii="仿宋" w:hAnsi="仿宋" w:eastAsia="仿宋"/>
          <w:color w:val="auto"/>
          <w:sz w:val="32"/>
          <w:szCs w:val="32"/>
        </w:rPr>
        <w:t>%</w:t>
      </w:r>
      <w:r>
        <w:rPr>
          <w:rFonts w:hint="eastAsia" w:ascii="仿宋" w:hAnsi="仿宋" w:eastAsia="仿宋"/>
          <w:color w:val="auto"/>
          <w:sz w:val="32"/>
          <w:szCs w:val="32"/>
        </w:rPr>
        <w:t>。</w:t>
      </w:r>
    </w:p>
    <w:p>
      <w:pPr>
        <w:spacing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（图2：收入决算结构图）（饼状图）</w:t>
      </w:r>
    </w:p>
    <w:p>
      <w:pPr>
        <w:pStyle w:val="6"/>
      </w:pPr>
      <w:r>
        <w:rPr>
          <w:rFonts w:hint="eastAsia" w:ascii="宋体" w:hAnsi="宋体" w:eastAsia="宋体" w:cs="宋体"/>
          <w:sz w:val="24"/>
          <w:szCs w:val="24"/>
          <w:lang w:eastAsia="zh-CN"/>
        </w:rPr>
        <w:drawing>
          <wp:inline distT="0" distB="0" distL="114300" distR="114300">
            <wp:extent cx="5367655" cy="4114165"/>
            <wp:effectExtent l="5080" t="4445" r="18415" b="1524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仿宋_GB2312" w:eastAsia="仿宋_GB2312"/>
          <w:color w:val="auto"/>
          <w:sz w:val="32"/>
          <w:szCs w:val="32"/>
        </w:rPr>
      </w:pPr>
    </w:p>
    <w:p>
      <w:pPr>
        <w:pStyle w:val="24"/>
        <w:numPr>
          <w:ilvl w:val="0"/>
          <w:numId w:val="4"/>
        </w:numPr>
        <w:spacing w:line="600" w:lineRule="exact"/>
        <w:ind w:firstLineChars="0"/>
        <w:outlineLvl w:val="1"/>
        <w:rPr>
          <w:rStyle w:val="26"/>
          <w:rFonts w:ascii="黑体" w:hAnsi="黑体" w:eastAsia="黑体"/>
          <w:b w:val="0"/>
          <w:color w:val="auto"/>
        </w:rPr>
      </w:pPr>
      <w:bookmarkStart w:id="22" w:name="_Toc15377207"/>
      <w:bookmarkStart w:id="23" w:name="_Toc15396605"/>
      <w:r>
        <w:rPr>
          <w:rFonts w:hint="eastAsia" w:ascii="黑体" w:hAnsi="黑体" w:eastAsia="黑体"/>
          <w:color w:val="auto"/>
          <w:sz w:val="32"/>
          <w:szCs w:val="32"/>
        </w:rPr>
        <w:t>支</w:t>
      </w:r>
      <w:r>
        <w:rPr>
          <w:rStyle w:val="26"/>
          <w:rFonts w:hint="eastAsia" w:ascii="黑体" w:hAnsi="黑体" w:eastAsia="黑体"/>
          <w:b w:val="0"/>
          <w:color w:val="auto"/>
        </w:rPr>
        <w:t>出决算情况说明</w:t>
      </w:r>
      <w:bookmarkEnd w:id="22"/>
      <w:bookmarkEnd w:id="23"/>
    </w:p>
    <w:p>
      <w:pPr>
        <w:spacing w:line="600" w:lineRule="exact"/>
        <w:ind w:firstLine="640" w:firstLineChars="200"/>
        <w:outlineLvl w:val="1"/>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年本年支出合计</w:t>
      </w:r>
      <w:r>
        <w:rPr>
          <w:rFonts w:hint="eastAsia" w:ascii="仿宋" w:hAnsi="仿宋" w:eastAsia="仿宋"/>
          <w:color w:val="auto"/>
          <w:sz w:val="32"/>
          <w:szCs w:val="32"/>
          <w:lang w:val="en-US" w:eastAsia="zh-CN"/>
        </w:rPr>
        <w:t>14954.30</w:t>
      </w:r>
      <w:r>
        <w:rPr>
          <w:rFonts w:hint="eastAsia" w:ascii="仿宋" w:hAnsi="仿宋" w:eastAsia="仿宋"/>
          <w:color w:val="auto"/>
          <w:sz w:val="32"/>
          <w:szCs w:val="32"/>
        </w:rPr>
        <w:t>万元，其中：基本支出</w:t>
      </w:r>
      <w:r>
        <w:rPr>
          <w:rFonts w:hint="eastAsia" w:ascii="仿宋" w:hAnsi="仿宋" w:eastAsia="仿宋"/>
          <w:color w:val="auto"/>
          <w:sz w:val="32"/>
          <w:szCs w:val="32"/>
          <w:lang w:val="en-US" w:eastAsia="zh-CN"/>
        </w:rPr>
        <w:t>6200.42</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41.46</w:t>
      </w:r>
      <w:r>
        <w:rPr>
          <w:rFonts w:ascii="仿宋" w:hAnsi="仿宋" w:eastAsia="仿宋"/>
          <w:color w:val="auto"/>
          <w:sz w:val="32"/>
          <w:szCs w:val="32"/>
        </w:rPr>
        <w:t>%</w:t>
      </w:r>
      <w:r>
        <w:rPr>
          <w:rFonts w:hint="eastAsia" w:ascii="仿宋" w:hAnsi="仿宋" w:eastAsia="仿宋"/>
          <w:color w:val="auto"/>
          <w:sz w:val="32"/>
          <w:szCs w:val="32"/>
        </w:rPr>
        <w:t>；项目支出</w:t>
      </w:r>
      <w:r>
        <w:rPr>
          <w:rFonts w:hint="eastAsia" w:ascii="仿宋" w:hAnsi="仿宋" w:eastAsia="仿宋"/>
          <w:color w:val="auto"/>
          <w:sz w:val="32"/>
          <w:szCs w:val="32"/>
          <w:lang w:val="en-US" w:eastAsia="zh-CN"/>
        </w:rPr>
        <w:t>7980.89</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53.37</w:t>
      </w:r>
      <w:r>
        <w:rPr>
          <w:rFonts w:ascii="仿宋" w:hAnsi="仿宋" w:eastAsia="仿宋"/>
          <w:color w:val="auto"/>
          <w:sz w:val="32"/>
          <w:szCs w:val="32"/>
        </w:rPr>
        <w:t>%</w:t>
      </w:r>
      <w:r>
        <w:rPr>
          <w:rFonts w:hint="eastAsia" w:ascii="仿宋" w:hAnsi="仿宋" w:eastAsia="仿宋"/>
          <w:color w:val="auto"/>
          <w:sz w:val="32"/>
          <w:szCs w:val="32"/>
        </w:rPr>
        <w:t>；上缴上级支出</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；经营支出</w:t>
      </w:r>
      <w:r>
        <w:rPr>
          <w:rFonts w:hint="eastAsia" w:ascii="仿宋" w:hAnsi="仿宋" w:eastAsia="仿宋"/>
          <w:color w:val="auto"/>
          <w:sz w:val="32"/>
          <w:szCs w:val="32"/>
          <w:lang w:val="en-US" w:eastAsia="zh-CN"/>
        </w:rPr>
        <w:t>772.99</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5.17</w:t>
      </w:r>
      <w:r>
        <w:rPr>
          <w:rFonts w:ascii="仿宋" w:hAnsi="仿宋" w:eastAsia="仿宋"/>
          <w:color w:val="auto"/>
          <w:sz w:val="32"/>
          <w:szCs w:val="32"/>
        </w:rPr>
        <w:t>%</w:t>
      </w:r>
      <w:r>
        <w:rPr>
          <w:rFonts w:hint="eastAsia" w:ascii="仿宋" w:hAnsi="仿宋" w:eastAsia="仿宋"/>
          <w:color w:val="auto"/>
          <w:sz w:val="32"/>
          <w:szCs w:val="32"/>
        </w:rPr>
        <w:t>；对附属单位补助支出</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w:t>
      </w:r>
    </w:p>
    <w:p>
      <w:pPr>
        <w:spacing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（图3：支出决算结构图）（饼状图）</w:t>
      </w:r>
    </w:p>
    <w:p>
      <w:pPr>
        <w:pStyle w:val="6"/>
      </w:pPr>
      <w:r>
        <w:rPr>
          <w:rFonts w:hint="eastAsia" w:ascii="宋体" w:hAnsi="宋体" w:eastAsia="宋体" w:cs="宋体"/>
          <w:sz w:val="24"/>
          <w:szCs w:val="24"/>
          <w:lang w:eastAsia="zh-CN"/>
        </w:rPr>
        <w:drawing>
          <wp:inline distT="0" distB="0" distL="114300" distR="114300">
            <wp:extent cx="5080000" cy="4232910"/>
            <wp:effectExtent l="4445" t="4445" r="20955" b="107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ascii="仿宋_GB2312" w:eastAsia="仿宋_GB2312"/>
          <w:color w:val="auto"/>
          <w:sz w:val="32"/>
          <w:szCs w:val="32"/>
        </w:rPr>
      </w:pPr>
    </w:p>
    <w:p>
      <w:pPr>
        <w:spacing w:line="600" w:lineRule="exact"/>
        <w:ind w:firstLine="640" w:firstLineChars="200"/>
        <w:outlineLvl w:val="1"/>
        <w:rPr>
          <w:rStyle w:val="26"/>
          <w:rFonts w:ascii="黑体" w:hAnsi="黑体" w:eastAsia="黑体"/>
          <w:b w:val="0"/>
          <w:color w:val="auto"/>
        </w:rPr>
      </w:pPr>
      <w:bookmarkStart w:id="24" w:name="_Toc15396606"/>
      <w:bookmarkStart w:id="25" w:name="_Toc15377208"/>
      <w:r>
        <w:rPr>
          <w:rFonts w:hint="eastAsia" w:ascii="黑体" w:hAnsi="黑体" w:eastAsia="黑体"/>
          <w:color w:val="auto"/>
          <w:sz w:val="32"/>
          <w:szCs w:val="32"/>
        </w:rPr>
        <w:t>四、财</w:t>
      </w:r>
      <w:r>
        <w:rPr>
          <w:rStyle w:val="26"/>
          <w:rFonts w:hint="eastAsia" w:ascii="黑体" w:hAnsi="黑体" w:eastAsia="黑体"/>
          <w:b w:val="0"/>
          <w:color w:val="auto"/>
        </w:rPr>
        <w:t>政拨款收入支出决算总体情况说明</w:t>
      </w:r>
      <w:bookmarkEnd w:id="24"/>
      <w:bookmarkEnd w:id="25"/>
    </w:p>
    <w:p>
      <w:pPr>
        <w:spacing w:line="600" w:lineRule="exact"/>
        <w:ind w:firstLine="640"/>
        <w:rPr>
          <w:rFonts w:hint="eastAsia" w:ascii="仿宋" w:hAnsi="仿宋" w:eastAsia="仿宋"/>
          <w:color w:val="auto"/>
          <w:sz w:val="32"/>
          <w:szCs w:val="32"/>
          <w:lang w:eastAsia="zh-CN"/>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年财政拨款收、支总计</w:t>
      </w:r>
      <w:r>
        <w:rPr>
          <w:rFonts w:hint="eastAsia" w:ascii="仿宋" w:hAnsi="仿宋" w:eastAsia="仿宋"/>
          <w:color w:val="auto"/>
          <w:sz w:val="32"/>
          <w:szCs w:val="32"/>
          <w:lang w:val="en-US" w:eastAsia="zh-CN"/>
        </w:rPr>
        <w:t>5469.22</w:t>
      </w:r>
      <w:r>
        <w:rPr>
          <w:rFonts w:hint="eastAsia" w:ascii="仿宋" w:hAnsi="仿宋" w:eastAsia="仿宋"/>
          <w:color w:val="auto"/>
          <w:sz w:val="32"/>
          <w:szCs w:val="32"/>
        </w:rPr>
        <w:t>万元。与</w:t>
      </w:r>
      <w:r>
        <w:rPr>
          <w:rFonts w:ascii="仿宋" w:hAnsi="仿宋" w:eastAsia="仿宋"/>
          <w:color w:val="auto"/>
          <w:sz w:val="32"/>
          <w:szCs w:val="32"/>
        </w:rPr>
        <w:t>201</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年相比，财政拨款收、支总计各增加</w:t>
      </w:r>
      <w:r>
        <w:rPr>
          <w:rFonts w:hint="eastAsia" w:ascii="仿宋" w:hAnsi="仿宋" w:eastAsia="仿宋"/>
          <w:color w:val="auto"/>
          <w:sz w:val="32"/>
          <w:szCs w:val="32"/>
          <w:lang w:val="en-US" w:eastAsia="zh-CN"/>
        </w:rPr>
        <w:t>1540.43</w:t>
      </w:r>
      <w:r>
        <w:rPr>
          <w:rFonts w:hint="eastAsia" w:ascii="仿宋" w:hAnsi="仿宋" w:eastAsia="仿宋"/>
          <w:color w:val="auto"/>
          <w:sz w:val="32"/>
          <w:szCs w:val="32"/>
        </w:rPr>
        <w:t>万元，增长</w:t>
      </w:r>
      <w:r>
        <w:rPr>
          <w:rFonts w:hint="eastAsia" w:ascii="仿宋" w:hAnsi="仿宋" w:eastAsia="仿宋"/>
          <w:color w:val="auto"/>
          <w:sz w:val="32"/>
          <w:szCs w:val="32"/>
          <w:lang w:val="en-US" w:eastAsia="zh-CN"/>
        </w:rPr>
        <w:t>39.21</w:t>
      </w:r>
      <w:r>
        <w:rPr>
          <w:rFonts w:ascii="仿宋" w:hAnsi="仿宋" w:eastAsia="仿宋"/>
          <w:color w:val="auto"/>
          <w:sz w:val="32"/>
          <w:szCs w:val="32"/>
        </w:rPr>
        <w:t>%</w:t>
      </w:r>
      <w:r>
        <w:rPr>
          <w:rFonts w:hint="eastAsia" w:ascii="仿宋" w:hAnsi="仿宋" w:eastAsia="仿宋"/>
          <w:color w:val="auto"/>
          <w:sz w:val="32"/>
          <w:szCs w:val="32"/>
        </w:rPr>
        <w:t>。主要变动原因是</w:t>
      </w:r>
      <w:r>
        <w:rPr>
          <w:rFonts w:hint="eastAsia" w:ascii="仿宋" w:hAnsi="仿宋" w:eastAsia="仿宋"/>
          <w:color w:val="auto"/>
          <w:sz w:val="32"/>
          <w:szCs w:val="32"/>
          <w:lang w:eastAsia="zh-CN"/>
        </w:rPr>
        <w:t>上缴主管部门集中收入增加</w:t>
      </w:r>
    </w:p>
    <w:p>
      <w:pPr>
        <w:spacing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（图4：财政拨款收、支决算总计变动情况）（柱状图）</w:t>
      </w:r>
    </w:p>
    <w:p>
      <w:pPr>
        <w:pStyle w:val="6"/>
      </w:pPr>
      <w:r>
        <w:rPr>
          <w:rFonts w:hint="eastAsia" w:ascii="宋体" w:hAnsi="宋体" w:eastAsia="宋体" w:cs="宋体"/>
          <w:sz w:val="24"/>
          <w:szCs w:val="24"/>
          <w:lang w:eastAsia="zh-CN"/>
        </w:rPr>
        <w:drawing>
          <wp:inline distT="0" distB="0" distL="114300" distR="114300">
            <wp:extent cx="5069840" cy="3359150"/>
            <wp:effectExtent l="5080" t="4445" r="11430" b="825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rPr>
          <w:rFonts w:ascii="仿宋" w:hAnsi="仿宋" w:eastAsia="仿宋"/>
          <w:b/>
          <w:color w:val="auto"/>
          <w:sz w:val="32"/>
          <w:szCs w:val="32"/>
        </w:rPr>
      </w:pPr>
    </w:p>
    <w:p>
      <w:pPr>
        <w:spacing w:line="600" w:lineRule="exact"/>
        <w:ind w:firstLine="640" w:firstLineChars="200"/>
        <w:outlineLvl w:val="1"/>
        <w:rPr>
          <w:rStyle w:val="26"/>
          <w:rFonts w:ascii="黑体" w:hAnsi="黑体" w:eastAsia="黑体"/>
          <w:b w:val="0"/>
          <w:color w:val="auto"/>
        </w:rPr>
      </w:pPr>
      <w:bookmarkStart w:id="26" w:name="_Toc15396607"/>
      <w:bookmarkStart w:id="27" w:name="_Toc15377209"/>
      <w:r>
        <w:rPr>
          <w:rFonts w:hint="eastAsia" w:ascii="黑体" w:hAnsi="黑体" w:eastAsia="黑体"/>
          <w:color w:val="auto"/>
          <w:sz w:val="32"/>
          <w:szCs w:val="32"/>
        </w:rPr>
        <w:t>五、</w:t>
      </w:r>
      <w:r>
        <w:rPr>
          <w:rFonts w:hint="eastAsia" w:ascii="黑体" w:hAnsi="黑体" w:eastAsia="黑体"/>
          <w:b/>
          <w:color w:val="auto"/>
          <w:sz w:val="32"/>
          <w:szCs w:val="32"/>
        </w:rPr>
        <w:t>一</w:t>
      </w:r>
      <w:r>
        <w:rPr>
          <w:rStyle w:val="26"/>
          <w:rFonts w:hint="eastAsia" w:ascii="黑体" w:hAnsi="黑体" w:eastAsia="黑体"/>
          <w:b w:val="0"/>
          <w:color w:val="auto"/>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rPr>
      </w:pPr>
      <w:bookmarkStart w:id="28" w:name="_Toc15377210"/>
      <w:r>
        <w:rPr>
          <w:rFonts w:hint="eastAsia" w:ascii="仿宋" w:hAnsi="仿宋" w:eastAsia="仿宋"/>
          <w:b/>
          <w:color w:val="auto"/>
          <w:sz w:val="32"/>
          <w:szCs w:val="32"/>
        </w:rPr>
        <w:t>（一）一般公共预算财政拨款支出决算总体情况</w:t>
      </w:r>
      <w:bookmarkEnd w:id="28"/>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年一般公共预算财政拨款支出</w:t>
      </w:r>
      <w:r>
        <w:rPr>
          <w:rFonts w:hint="eastAsia" w:ascii="仿宋" w:hAnsi="仿宋" w:eastAsia="仿宋"/>
          <w:color w:val="auto"/>
          <w:sz w:val="32"/>
          <w:szCs w:val="32"/>
          <w:lang w:val="en-US" w:eastAsia="zh-CN"/>
        </w:rPr>
        <w:t>5469.22</w:t>
      </w:r>
      <w:r>
        <w:rPr>
          <w:rFonts w:hint="eastAsia" w:ascii="仿宋" w:hAnsi="仿宋" w:eastAsia="仿宋"/>
          <w:color w:val="auto"/>
          <w:sz w:val="32"/>
          <w:szCs w:val="32"/>
        </w:rPr>
        <w:t>万元，占本年支出合计的</w:t>
      </w:r>
      <w:r>
        <w:rPr>
          <w:rFonts w:hint="eastAsia" w:ascii="仿宋" w:hAnsi="仿宋" w:eastAsia="仿宋"/>
          <w:color w:val="auto"/>
          <w:sz w:val="32"/>
          <w:szCs w:val="32"/>
          <w:lang w:val="en-US" w:eastAsia="zh-CN"/>
        </w:rPr>
        <w:t>36.57</w:t>
      </w:r>
      <w:r>
        <w:rPr>
          <w:rFonts w:ascii="仿宋" w:hAnsi="仿宋" w:eastAsia="仿宋"/>
          <w:color w:val="auto"/>
          <w:sz w:val="32"/>
          <w:szCs w:val="32"/>
        </w:rPr>
        <w:t>%</w:t>
      </w:r>
      <w:r>
        <w:rPr>
          <w:rFonts w:hint="eastAsia" w:ascii="仿宋" w:hAnsi="仿宋" w:eastAsia="仿宋"/>
          <w:color w:val="auto"/>
          <w:sz w:val="32"/>
          <w:szCs w:val="32"/>
        </w:rPr>
        <w:t>。与</w:t>
      </w:r>
      <w:r>
        <w:rPr>
          <w:rFonts w:ascii="仿宋" w:hAnsi="仿宋" w:eastAsia="仿宋"/>
          <w:color w:val="auto"/>
          <w:sz w:val="32"/>
          <w:szCs w:val="32"/>
        </w:rPr>
        <w:t>201</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年相比，一般公共预算财政拨款增加</w:t>
      </w:r>
      <w:r>
        <w:rPr>
          <w:rFonts w:hint="eastAsia" w:ascii="仿宋" w:hAnsi="仿宋" w:eastAsia="仿宋"/>
          <w:color w:val="auto"/>
          <w:sz w:val="32"/>
          <w:szCs w:val="32"/>
          <w:lang w:val="en-US" w:eastAsia="zh-CN"/>
        </w:rPr>
        <w:t>1540.44</w:t>
      </w:r>
      <w:r>
        <w:rPr>
          <w:rFonts w:hint="eastAsia" w:ascii="仿宋" w:hAnsi="仿宋" w:eastAsia="仿宋"/>
          <w:color w:val="auto"/>
          <w:sz w:val="32"/>
          <w:szCs w:val="32"/>
        </w:rPr>
        <w:t>万元，增长</w:t>
      </w:r>
      <w:r>
        <w:rPr>
          <w:rFonts w:hint="eastAsia" w:ascii="仿宋" w:hAnsi="仿宋" w:eastAsia="仿宋"/>
          <w:color w:val="auto"/>
          <w:sz w:val="32"/>
          <w:szCs w:val="32"/>
          <w:lang w:val="en-US" w:eastAsia="zh-CN"/>
        </w:rPr>
        <w:t>39.21</w:t>
      </w:r>
      <w:r>
        <w:rPr>
          <w:rFonts w:ascii="仿宋" w:hAnsi="仿宋" w:eastAsia="仿宋"/>
          <w:color w:val="auto"/>
          <w:sz w:val="32"/>
          <w:szCs w:val="32"/>
        </w:rPr>
        <w:t>%</w:t>
      </w:r>
      <w:r>
        <w:rPr>
          <w:rFonts w:hint="eastAsia" w:ascii="仿宋" w:hAnsi="仿宋" w:eastAsia="仿宋"/>
          <w:color w:val="auto"/>
          <w:sz w:val="32"/>
          <w:szCs w:val="32"/>
        </w:rPr>
        <w:t>。主要变动原因是</w:t>
      </w:r>
      <w:r>
        <w:rPr>
          <w:rFonts w:hint="eastAsia" w:ascii="仿宋" w:hAnsi="仿宋" w:eastAsia="仿宋"/>
          <w:color w:val="auto"/>
          <w:sz w:val="32"/>
          <w:szCs w:val="32"/>
          <w:lang w:eastAsia="zh-CN"/>
        </w:rPr>
        <w:t>上缴主管部门集中收入增加用于发放绩效工资增加。</w:t>
      </w:r>
    </w:p>
    <w:p>
      <w:pPr>
        <w:spacing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（图5：一般公共预算财政拨款支出决算变动情况）（柱状图）</w:t>
      </w:r>
    </w:p>
    <w:p>
      <w:pPr>
        <w:pStyle w:val="6"/>
      </w:pPr>
      <w:r>
        <w:rPr>
          <w:rFonts w:hint="eastAsia" w:ascii="宋体" w:hAnsi="宋体" w:eastAsia="宋体" w:cs="宋体"/>
          <w:sz w:val="24"/>
          <w:szCs w:val="24"/>
          <w:lang w:eastAsia="zh-CN"/>
        </w:rPr>
        <w:drawing>
          <wp:inline distT="0" distB="0" distL="114300" distR="114300">
            <wp:extent cx="5080000" cy="3810000"/>
            <wp:effectExtent l="4445" t="4445" r="20955" b="14605"/>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color w:val="auto"/>
          <w:sz w:val="32"/>
          <w:szCs w:val="32"/>
        </w:rPr>
      </w:pPr>
    </w:p>
    <w:p>
      <w:pPr>
        <w:pStyle w:val="6"/>
      </w:pPr>
    </w:p>
    <w:p>
      <w:pPr>
        <w:spacing w:line="600" w:lineRule="exact"/>
        <w:ind w:firstLine="643" w:firstLineChars="200"/>
        <w:outlineLvl w:val="2"/>
        <w:rPr>
          <w:rFonts w:ascii="仿宋" w:hAnsi="仿宋" w:eastAsia="仿宋"/>
          <w:b/>
          <w:color w:val="auto"/>
          <w:sz w:val="32"/>
          <w:szCs w:val="32"/>
        </w:rPr>
      </w:pPr>
      <w:bookmarkStart w:id="29" w:name="_Toc15377211"/>
      <w:r>
        <w:rPr>
          <w:rFonts w:hint="eastAsia" w:ascii="仿宋" w:hAnsi="仿宋" w:eastAsia="仿宋"/>
          <w:b/>
          <w:color w:val="auto"/>
          <w:sz w:val="32"/>
          <w:szCs w:val="32"/>
        </w:rPr>
        <w:t>（二）一般公共预算财政拨款支出决算结构情况</w:t>
      </w:r>
      <w:bookmarkEnd w:id="29"/>
    </w:p>
    <w:p>
      <w:pPr>
        <w:spacing w:line="600" w:lineRule="exact"/>
        <w:ind w:firstLine="640"/>
        <w:rPr>
          <w:rFonts w:hint="eastAsia" w:ascii="仿宋" w:hAnsi="仿宋" w:eastAsia="仿宋"/>
          <w:b/>
          <w:color w:val="auto"/>
          <w:sz w:val="32"/>
          <w:szCs w:val="32"/>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年一般公共预算财政拨款支出</w:t>
      </w:r>
      <w:r>
        <w:rPr>
          <w:rFonts w:hint="eastAsia" w:ascii="仿宋" w:hAnsi="仿宋" w:eastAsia="仿宋"/>
          <w:color w:val="auto"/>
          <w:sz w:val="32"/>
          <w:szCs w:val="32"/>
          <w:lang w:val="en-US" w:eastAsia="zh-CN"/>
        </w:rPr>
        <w:t>5469.22</w:t>
      </w:r>
      <w:r>
        <w:rPr>
          <w:rFonts w:hint="eastAsia" w:ascii="仿宋" w:hAnsi="仿宋" w:eastAsia="仿宋"/>
          <w:color w:val="auto"/>
          <w:sz w:val="32"/>
          <w:szCs w:val="32"/>
        </w:rPr>
        <w:t>万元，主要用于以下方面</w:t>
      </w:r>
      <w:r>
        <w:rPr>
          <w:rFonts w:ascii="仿宋" w:hAnsi="仿宋" w:eastAsia="仿宋"/>
          <w:color w:val="auto"/>
          <w:sz w:val="32"/>
          <w:szCs w:val="32"/>
        </w:rPr>
        <w:t>:</w:t>
      </w:r>
      <w:r>
        <w:rPr>
          <w:rFonts w:hint="eastAsia" w:ascii="仿宋" w:hAnsi="仿宋" w:eastAsia="仿宋"/>
          <w:b/>
          <w:color w:val="auto"/>
          <w:sz w:val="32"/>
          <w:szCs w:val="32"/>
        </w:rPr>
        <w:t>一般公共服务（类）</w:t>
      </w:r>
      <w:r>
        <w:rPr>
          <w:rFonts w:hint="eastAsia" w:ascii="仿宋" w:hAnsi="仿宋" w:eastAsia="仿宋"/>
          <w:color w:val="auto"/>
          <w:sz w:val="32"/>
          <w:szCs w:val="32"/>
        </w:rPr>
        <w:t>支出</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color w:val="auto"/>
          <w:sz w:val="32"/>
          <w:szCs w:val="32"/>
        </w:rPr>
        <w:t>教育支出（类）</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color w:val="auto"/>
          <w:sz w:val="32"/>
          <w:szCs w:val="32"/>
        </w:rPr>
        <w:t>科学技术（类）</w:t>
      </w:r>
      <w:r>
        <w:rPr>
          <w:rFonts w:hint="eastAsia" w:ascii="仿宋" w:hAnsi="仿宋" w:eastAsia="仿宋"/>
          <w:color w:val="auto"/>
          <w:sz w:val="32"/>
          <w:szCs w:val="32"/>
        </w:rPr>
        <w:t>支出</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bCs/>
          <w:color w:val="auto"/>
          <w:sz w:val="32"/>
          <w:szCs w:val="32"/>
        </w:rPr>
        <w:t>文化旅游体育与传媒（类）支出</w:t>
      </w:r>
      <w:r>
        <w:rPr>
          <w:rFonts w:hint="eastAsia" w:ascii="仿宋" w:hAnsi="仿宋" w:eastAsia="仿宋"/>
          <w:b/>
          <w:bCs/>
          <w:color w:val="auto"/>
          <w:sz w:val="32"/>
          <w:szCs w:val="32"/>
          <w:lang w:val="en-US" w:eastAsia="zh-CN"/>
        </w:rPr>
        <w:t>0</w:t>
      </w:r>
      <w:r>
        <w:rPr>
          <w:rFonts w:hint="eastAsia" w:ascii="仿宋" w:hAnsi="仿宋" w:eastAsia="仿宋"/>
          <w:b/>
          <w:bCs/>
          <w:color w:val="auto"/>
          <w:sz w:val="32"/>
          <w:szCs w:val="32"/>
        </w:rPr>
        <w:t>万元，占</w:t>
      </w:r>
      <w:r>
        <w:rPr>
          <w:rFonts w:hint="eastAsia" w:ascii="仿宋" w:hAnsi="仿宋" w:eastAsia="仿宋"/>
          <w:b/>
          <w:bCs/>
          <w:color w:val="auto"/>
          <w:sz w:val="32"/>
          <w:szCs w:val="32"/>
          <w:lang w:val="en-US" w:eastAsia="zh-CN"/>
        </w:rPr>
        <w:t>0</w:t>
      </w:r>
      <w:r>
        <w:rPr>
          <w:rFonts w:ascii="仿宋" w:hAnsi="仿宋" w:eastAsia="仿宋"/>
          <w:b/>
          <w:bCs/>
          <w:color w:val="auto"/>
          <w:sz w:val="32"/>
          <w:szCs w:val="32"/>
        </w:rPr>
        <w:t>%</w:t>
      </w:r>
      <w:r>
        <w:rPr>
          <w:rFonts w:hint="eastAsia" w:ascii="仿宋" w:hAnsi="仿宋" w:eastAsia="仿宋"/>
          <w:color w:val="auto"/>
          <w:sz w:val="32"/>
          <w:szCs w:val="32"/>
        </w:rPr>
        <w:t>；</w:t>
      </w:r>
      <w:r>
        <w:rPr>
          <w:rFonts w:hint="eastAsia" w:ascii="仿宋" w:hAnsi="仿宋" w:eastAsia="仿宋"/>
          <w:b/>
          <w:color w:val="auto"/>
          <w:sz w:val="32"/>
          <w:szCs w:val="32"/>
        </w:rPr>
        <w:t>社会保障和就业（类）</w:t>
      </w:r>
      <w:r>
        <w:rPr>
          <w:rFonts w:hint="eastAsia" w:ascii="仿宋" w:hAnsi="仿宋" w:eastAsia="仿宋"/>
          <w:color w:val="auto"/>
          <w:sz w:val="32"/>
          <w:szCs w:val="32"/>
        </w:rPr>
        <w:t>支出</w:t>
      </w:r>
      <w:r>
        <w:rPr>
          <w:rFonts w:hint="eastAsia" w:ascii="仿宋" w:hAnsi="仿宋" w:eastAsia="仿宋"/>
          <w:color w:val="auto"/>
          <w:sz w:val="32"/>
          <w:szCs w:val="32"/>
          <w:lang w:val="en-US" w:eastAsia="zh-CN"/>
        </w:rPr>
        <w:t>1214.87</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22.21</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bCs/>
          <w:color w:val="auto"/>
          <w:sz w:val="32"/>
          <w:szCs w:val="32"/>
        </w:rPr>
        <w:t>卫生健康支出</w:t>
      </w:r>
      <w:r>
        <w:rPr>
          <w:rFonts w:hint="eastAsia" w:ascii="仿宋" w:hAnsi="仿宋" w:eastAsia="仿宋"/>
          <w:color w:val="auto"/>
          <w:sz w:val="32"/>
          <w:szCs w:val="32"/>
          <w:lang w:val="en-US" w:eastAsia="zh-CN"/>
        </w:rPr>
        <w:t>204</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3.73</w:t>
      </w:r>
      <w:r>
        <w:rPr>
          <w:rFonts w:ascii="仿宋" w:hAnsi="仿宋" w:eastAsia="仿宋"/>
          <w:color w:val="auto"/>
          <w:sz w:val="32"/>
          <w:szCs w:val="32"/>
        </w:rPr>
        <w:t>%</w:t>
      </w:r>
      <w:r>
        <w:rPr>
          <w:rFonts w:hint="eastAsia" w:ascii="仿宋" w:hAnsi="仿宋" w:eastAsia="仿宋"/>
          <w:color w:val="auto"/>
          <w:sz w:val="32"/>
          <w:szCs w:val="32"/>
        </w:rPr>
        <w:t>；住房保障支出</w:t>
      </w:r>
      <w:r>
        <w:rPr>
          <w:rFonts w:hint="eastAsia" w:ascii="仿宋" w:hAnsi="仿宋" w:eastAsia="仿宋"/>
          <w:color w:val="auto"/>
          <w:sz w:val="32"/>
          <w:szCs w:val="32"/>
          <w:lang w:val="en-US" w:eastAsia="zh-CN"/>
        </w:rPr>
        <w:t>290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5.30</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color w:val="auto"/>
          <w:sz w:val="32"/>
          <w:szCs w:val="32"/>
          <w:lang w:eastAsia="zh-CN"/>
        </w:rPr>
        <w:t>资源勘探工业信息等支出</w:t>
      </w:r>
      <w:r>
        <w:rPr>
          <w:rFonts w:hint="eastAsia" w:ascii="仿宋" w:hAnsi="仿宋" w:eastAsia="仿宋"/>
          <w:color w:val="auto"/>
          <w:sz w:val="32"/>
          <w:szCs w:val="32"/>
          <w:lang w:val="en-US" w:eastAsia="zh-CN"/>
        </w:rPr>
        <w:t>3760.35万元，占68.75%</w:t>
      </w:r>
      <w:r>
        <w:rPr>
          <w:rFonts w:hint="eastAsia" w:ascii="仿宋" w:hAnsi="仿宋" w:eastAsia="仿宋"/>
          <w:color w:val="auto"/>
          <w:sz w:val="32"/>
          <w:szCs w:val="32"/>
        </w:rPr>
        <w:t>。</w:t>
      </w:r>
    </w:p>
    <w:p>
      <w:pPr>
        <w:spacing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（图6：一般公共预算财政拨款支出决算结构）（饼状图）</w:t>
      </w:r>
    </w:p>
    <w:p>
      <w:pPr>
        <w:pStyle w:val="6"/>
      </w:pPr>
      <w:r>
        <w:rPr>
          <w:rFonts w:hint="eastAsia" w:ascii="宋体" w:hAnsi="宋体" w:eastAsia="宋体" w:cs="宋体"/>
          <w:sz w:val="24"/>
          <w:szCs w:val="24"/>
          <w:lang w:eastAsia="zh-CN"/>
        </w:rPr>
        <w:drawing>
          <wp:inline distT="0" distB="0" distL="114300" distR="114300">
            <wp:extent cx="5080000" cy="3810000"/>
            <wp:effectExtent l="4445" t="4445" r="20955" b="1460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 w:hAnsi="仿宋" w:eastAsia="仿宋"/>
          <w:color w:val="auto"/>
          <w:sz w:val="32"/>
          <w:szCs w:val="32"/>
        </w:rPr>
      </w:pPr>
    </w:p>
    <w:p>
      <w:pPr>
        <w:spacing w:line="600" w:lineRule="exact"/>
        <w:ind w:firstLine="643" w:firstLineChars="200"/>
        <w:outlineLvl w:val="2"/>
        <w:rPr>
          <w:rFonts w:ascii="仿宋" w:hAnsi="仿宋" w:eastAsia="仿宋"/>
          <w:b/>
          <w:color w:val="auto"/>
          <w:sz w:val="32"/>
          <w:szCs w:val="32"/>
        </w:rPr>
      </w:pPr>
      <w:bookmarkStart w:id="30" w:name="_Toc15377212"/>
      <w:r>
        <w:rPr>
          <w:rFonts w:hint="eastAsia" w:ascii="仿宋" w:hAnsi="仿宋" w:eastAsia="仿宋"/>
          <w:b/>
          <w:color w:val="auto"/>
          <w:sz w:val="32"/>
          <w:szCs w:val="32"/>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rPr>
      </w:pPr>
      <w:bookmarkStart w:id="31" w:name="_Toc15377213"/>
      <w:bookmarkStart w:id="32" w:name="_Toc15377444"/>
      <w:bookmarkStart w:id="33" w:name="_Toc15378460"/>
      <w:r>
        <w:rPr>
          <w:rFonts w:hint="eastAsia" w:ascii="仿宋" w:hAnsi="仿宋" w:eastAsia="仿宋"/>
          <w:b/>
          <w:color w:val="auto"/>
          <w:sz w:val="32"/>
          <w:szCs w:val="32"/>
        </w:rPr>
        <w:t>20</w:t>
      </w:r>
      <w:r>
        <w:rPr>
          <w:rFonts w:hint="eastAsia" w:ascii="仿宋" w:hAnsi="仿宋" w:eastAsia="仿宋"/>
          <w:b/>
          <w:color w:val="auto"/>
          <w:sz w:val="32"/>
          <w:szCs w:val="32"/>
          <w:lang w:val="en-US" w:eastAsia="zh-CN"/>
        </w:rPr>
        <w:t>20</w:t>
      </w:r>
      <w:r>
        <w:rPr>
          <w:rFonts w:hint="eastAsia" w:ascii="仿宋" w:hAnsi="仿宋" w:eastAsia="仿宋"/>
          <w:b/>
          <w:color w:val="auto"/>
          <w:sz w:val="32"/>
          <w:szCs w:val="32"/>
        </w:rPr>
        <w:t>年</w:t>
      </w:r>
      <w:r>
        <w:rPr>
          <w:rFonts w:hint="eastAsia" w:ascii="仿宋" w:hAnsi="仿宋" w:eastAsia="仿宋"/>
          <w:b/>
          <w:color w:val="auto"/>
          <w:sz w:val="32"/>
          <w:szCs w:val="32"/>
          <w:lang w:eastAsia="zh-CN"/>
        </w:rPr>
        <w:t>一</w:t>
      </w:r>
      <w:r>
        <w:rPr>
          <w:rFonts w:hint="eastAsia" w:ascii="仿宋" w:hAnsi="仿宋" w:eastAsia="仿宋"/>
          <w:b/>
          <w:color w:val="auto"/>
          <w:sz w:val="32"/>
          <w:szCs w:val="32"/>
        </w:rPr>
        <w:t>般公共预算支出决算数为</w:t>
      </w:r>
      <w:r>
        <w:rPr>
          <w:rFonts w:hint="eastAsia" w:ascii="仿宋" w:hAnsi="仿宋" w:eastAsia="仿宋"/>
          <w:b/>
          <w:color w:val="auto"/>
          <w:sz w:val="32"/>
          <w:szCs w:val="32"/>
          <w:lang w:val="en-US" w:eastAsia="zh-CN"/>
        </w:rPr>
        <w:t>5469.22万元</w:t>
      </w:r>
      <w:r>
        <w:rPr>
          <w:rFonts w:hint="eastAsia" w:ascii="仿宋" w:hAnsi="仿宋" w:eastAsia="仿宋"/>
          <w:color w:val="auto"/>
          <w:sz w:val="32"/>
          <w:szCs w:val="32"/>
        </w:rPr>
        <w:t>，</w:t>
      </w:r>
      <w:r>
        <w:rPr>
          <w:rStyle w:val="15"/>
          <w:rFonts w:hint="eastAsia" w:ascii="仿宋" w:hAnsi="仿宋" w:eastAsia="仿宋"/>
          <w:bCs/>
          <w:color w:val="auto"/>
          <w:sz w:val="32"/>
          <w:szCs w:val="32"/>
        </w:rPr>
        <w:t>完成预算</w:t>
      </w:r>
      <w:r>
        <w:rPr>
          <w:rStyle w:val="15"/>
          <w:rFonts w:hint="eastAsia" w:ascii="仿宋" w:hAnsi="仿宋" w:eastAsia="仿宋"/>
          <w:bCs/>
          <w:color w:val="auto"/>
          <w:sz w:val="32"/>
          <w:szCs w:val="32"/>
          <w:lang w:val="en-US" w:eastAsia="zh-CN"/>
        </w:rPr>
        <w:t>100</w:t>
      </w:r>
      <w:r>
        <w:rPr>
          <w:rStyle w:val="15"/>
          <w:rFonts w:ascii="仿宋" w:hAnsi="仿宋" w:eastAsia="仿宋"/>
          <w:bCs/>
          <w:color w:val="auto"/>
          <w:sz w:val="32"/>
          <w:szCs w:val="32"/>
        </w:rPr>
        <w:t>%</w:t>
      </w:r>
      <w:r>
        <w:rPr>
          <w:rStyle w:val="15"/>
          <w:rFonts w:hint="eastAsia" w:ascii="仿宋" w:hAnsi="仿宋" w:eastAsia="仿宋"/>
          <w:bCs/>
          <w:color w:val="auto"/>
          <w:sz w:val="32"/>
          <w:szCs w:val="32"/>
        </w:rPr>
        <w:t>。其中：</w:t>
      </w:r>
      <w:bookmarkEnd w:id="31"/>
      <w:bookmarkEnd w:id="32"/>
      <w:bookmarkEnd w:id="33"/>
    </w:p>
    <w:p>
      <w:pPr>
        <w:keepNext w:val="0"/>
        <w:keepLines w:val="0"/>
        <w:widowControl/>
        <w:suppressLineNumbers w:val="0"/>
        <w:ind w:firstLine="643" w:firstLineChars="200"/>
        <w:jc w:val="left"/>
      </w:pPr>
      <w:r>
        <w:rPr>
          <w:rStyle w:val="15"/>
          <w:rFonts w:hint="eastAsia" w:ascii="仿宋" w:hAnsi="仿宋" w:eastAsia="仿宋"/>
          <w:bCs/>
          <w:color w:val="auto"/>
          <w:sz w:val="32"/>
          <w:szCs w:val="32"/>
          <w:lang w:val="en-US" w:eastAsia="zh-CN"/>
        </w:rPr>
        <w:t>1</w:t>
      </w:r>
      <w:r>
        <w:rPr>
          <w:rStyle w:val="15"/>
          <w:rFonts w:ascii="仿宋" w:hAnsi="仿宋" w:eastAsia="仿宋"/>
          <w:bCs/>
          <w:color w:val="auto"/>
          <w:sz w:val="32"/>
          <w:szCs w:val="32"/>
        </w:rPr>
        <w:t>.</w:t>
      </w:r>
      <w:r>
        <w:rPr>
          <w:rFonts w:ascii="仿宋_GB2312" w:hAnsi="仿宋_GB2312" w:eastAsia="仿宋_GB2312" w:cs="仿宋_GB2312"/>
          <w:b/>
          <w:bCs/>
          <w:color w:val="000000"/>
          <w:kern w:val="0"/>
          <w:sz w:val="31"/>
          <w:szCs w:val="31"/>
          <w:lang w:val="en-US" w:eastAsia="zh-CN" w:bidi="ar"/>
        </w:rPr>
        <w:t>社会保障和就业（类）行政事业单位</w:t>
      </w:r>
      <w:r>
        <w:rPr>
          <w:rFonts w:hint="eastAsia" w:ascii="仿宋_GB2312" w:hAnsi="仿宋_GB2312" w:eastAsia="仿宋_GB2312" w:cs="仿宋_GB2312"/>
          <w:b/>
          <w:bCs/>
          <w:color w:val="000000"/>
          <w:kern w:val="0"/>
          <w:sz w:val="31"/>
          <w:szCs w:val="31"/>
          <w:lang w:val="en-US" w:eastAsia="zh-CN" w:bidi="ar"/>
        </w:rPr>
        <w:t>养老支出</w:t>
      </w:r>
      <w:r>
        <w:rPr>
          <w:rFonts w:ascii="仿宋_GB2312" w:hAnsi="仿宋_GB2312" w:eastAsia="仿宋_GB2312" w:cs="仿宋_GB2312"/>
          <w:b/>
          <w:bCs/>
          <w:color w:val="000000"/>
          <w:kern w:val="0"/>
          <w:sz w:val="31"/>
          <w:szCs w:val="31"/>
          <w:lang w:val="en-US" w:eastAsia="zh-CN" w:bidi="ar"/>
        </w:rPr>
        <w:t>（款）事业单位离退休（项）:</w:t>
      </w:r>
      <w:r>
        <w:rPr>
          <w:rFonts w:ascii="仿宋_GB2312" w:hAnsi="仿宋_GB2312" w:eastAsia="仿宋_GB2312" w:cs="仿宋_GB2312"/>
          <w:color w:val="000000"/>
          <w:kern w:val="0"/>
          <w:sz w:val="31"/>
          <w:szCs w:val="31"/>
          <w:lang w:val="en-US" w:eastAsia="zh-CN" w:bidi="ar"/>
        </w:rPr>
        <w:t>支出决算为</w:t>
      </w:r>
      <w:r>
        <w:rPr>
          <w:rFonts w:hint="eastAsia" w:ascii="仿宋_GB2312" w:hAnsi="仿宋_GB2312" w:eastAsia="仿宋_GB2312" w:cs="仿宋_GB2312"/>
          <w:color w:val="000000"/>
          <w:kern w:val="0"/>
          <w:sz w:val="31"/>
          <w:szCs w:val="31"/>
          <w:lang w:val="en-US" w:eastAsia="zh-CN" w:bidi="ar"/>
        </w:rPr>
        <w:t>400.60</w:t>
      </w:r>
      <w:r>
        <w:rPr>
          <w:rFonts w:ascii="仿宋_GB2312" w:hAnsi="仿宋_GB2312" w:eastAsia="仿宋_GB2312" w:cs="仿宋_GB2312"/>
          <w:color w:val="000000"/>
          <w:kern w:val="0"/>
          <w:sz w:val="31"/>
          <w:szCs w:val="31"/>
          <w:lang w:val="en-US" w:eastAsia="zh-CN" w:bidi="ar"/>
        </w:rPr>
        <w:t xml:space="preserve"> 万元，完成预算 </w:t>
      </w:r>
    </w:p>
    <w:p>
      <w:pPr>
        <w:keepNext w:val="0"/>
        <w:keepLines w:val="0"/>
        <w:widowControl/>
        <w:suppressLineNumbers w:val="0"/>
        <w:jc w:val="left"/>
      </w:pP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val="en-US" w:eastAsia="zh-CN" w:bidi="ar"/>
        </w:rPr>
        <w:t>%。</w:t>
      </w:r>
    </w:p>
    <w:p>
      <w:pPr>
        <w:keepNext w:val="0"/>
        <w:keepLines w:val="0"/>
        <w:widowControl/>
        <w:suppressLineNumbers w:val="0"/>
        <w:ind w:firstLine="622" w:firstLineChars="200"/>
        <w:jc w:val="left"/>
      </w:pPr>
      <w:r>
        <w:rPr>
          <w:rFonts w:hint="eastAsia" w:ascii="仿宋_GB2312" w:hAnsi="仿宋_GB2312" w:eastAsia="仿宋_GB2312" w:cs="仿宋_GB2312"/>
          <w:b/>
          <w:bCs/>
          <w:color w:val="000000"/>
          <w:kern w:val="0"/>
          <w:sz w:val="31"/>
          <w:szCs w:val="31"/>
          <w:lang w:val="en-US" w:eastAsia="zh-CN" w:bidi="ar"/>
        </w:rPr>
        <w:t>2</w:t>
      </w:r>
      <w:r>
        <w:rPr>
          <w:rFonts w:ascii="仿宋_GB2312" w:hAnsi="仿宋_GB2312" w:eastAsia="仿宋_GB2312" w:cs="仿宋_GB2312"/>
          <w:b/>
          <w:bCs/>
          <w:color w:val="000000"/>
          <w:kern w:val="0"/>
          <w:sz w:val="31"/>
          <w:szCs w:val="31"/>
          <w:lang w:val="en-US" w:eastAsia="zh-CN" w:bidi="ar"/>
        </w:rPr>
        <w:t>.社会保障和就业（类）行政事业单位</w:t>
      </w:r>
      <w:r>
        <w:rPr>
          <w:rFonts w:hint="eastAsia" w:ascii="仿宋_GB2312" w:hAnsi="仿宋_GB2312" w:eastAsia="仿宋_GB2312" w:cs="仿宋_GB2312"/>
          <w:b/>
          <w:bCs/>
          <w:color w:val="000000"/>
          <w:kern w:val="0"/>
          <w:sz w:val="31"/>
          <w:szCs w:val="31"/>
          <w:lang w:val="en-US" w:eastAsia="zh-CN" w:bidi="ar"/>
        </w:rPr>
        <w:t>养老支出</w:t>
      </w:r>
      <w:r>
        <w:rPr>
          <w:rFonts w:ascii="仿宋_GB2312" w:hAnsi="仿宋_GB2312" w:eastAsia="仿宋_GB2312" w:cs="仿宋_GB2312"/>
          <w:b/>
          <w:bCs/>
          <w:color w:val="000000"/>
          <w:kern w:val="0"/>
          <w:sz w:val="31"/>
          <w:szCs w:val="31"/>
          <w:lang w:val="en-US" w:eastAsia="zh-CN" w:bidi="ar"/>
        </w:rPr>
        <w:t>（款）机关事业单位基本养老保险缴费支出（项）:</w:t>
      </w:r>
      <w:r>
        <w:rPr>
          <w:rFonts w:ascii="仿宋_GB2312" w:hAnsi="仿宋_GB2312" w:eastAsia="仿宋_GB2312" w:cs="仿宋_GB2312"/>
          <w:color w:val="000000"/>
          <w:kern w:val="0"/>
          <w:sz w:val="31"/>
          <w:szCs w:val="31"/>
          <w:lang w:val="en-US" w:eastAsia="zh-CN" w:bidi="ar"/>
        </w:rPr>
        <w:t>支出决算为</w:t>
      </w:r>
      <w:r>
        <w:rPr>
          <w:rFonts w:hint="eastAsia" w:ascii="仿宋_GB2312" w:hAnsi="仿宋_GB2312" w:eastAsia="仿宋_GB2312" w:cs="仿宋_GB2312"/>
          <w:color w:val="000000"/>
          <w:kern w:val="0"/>
          <w:sz w:val="31"/>
          <w:szCs w:val="31"/>
          <w:lang w:val="en-US" w:eastAsia="zh-CN" w:bidi="ar"/>
        </w:rPr>
        <w:t>544.81</w:t>
      </w:r>
      <w:r>
        <w:rPr>
          <w:rFonts w:ascii="仿宋_GB2312" w:hAnsi="仿宋_GB2312" w:eastAsia="仿宋_GB2312" w:cs="仿宋_GB2312"/>
          <w:color w:val="000000"/>
          <w:kern w:val="0"/>
          <w:sz w:val="31"/>
          <w:szCs w:val="31"/>
          <w:lang w:val="en-US" w:eastAsia="zh-CN" w:bidi="ar"/>
        </w:rPr>
        <w:t>万元，完成预算</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ind w:firstLine="622" w:firstLineChars="200"/>
        <w:jc w:val="left"/>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3</w:t>
      </w:r>
      <w:r>
        <w:rPr>
          <w:rFonts w:ascii="仿宋_GB2312" w:hAnsi="仿宋_GB2312" w:eastAsia="仿宋_GB2312" w:cs="仿宋_GB2312"/>
          <w:b/>
          <w:bCs/>
          <w:color w:val="000000"/>
          <w:kern w:val="0"/>
          <w:sz w:val="31"/>
          <w:szCs w:val="31"/>
          <w:lang w:val="en-US" w:eastAsia="zh-CN" w:bidi="ar"/>
        </w:rPr>
        <w:t>.社会保障和就业（类）行政事业单位</w:t>
      </w:r>
      <w:r>
        <w:rPr>
          <w:rFonts w:hint="eastAsia" w:ascii="仿宋_GB2312" w:hAnsi="仿宋_GB2312" w:eastAsia="仿宋_GB2312" w:cs="仿宋_GB2312"/>
          <w:b/>
          <w:bCs/>
          <w:color w:val="000000"/>
          <w:kern w:val="0"/>
          <w:sz w:val="31"/>
          <w:szCs w:val="31"/>
          <w:lang w:val="en-US" w:eastAsia="zh-CN" w:bidi="ar"/>
        </w:rPr>
        <w:t>养老支出</w:t>
      </w:r>
      <w:r>
        <w:rPr>
          <w:rFonts w:ascii="仿宋_GB2312" w:hAnsi="仿宋_GB2312" w:eastAsia="仿宋_GB2312" w:cs="仿宋_GB2312"/>
          <w:b/>
          <w:bCs/>
          <w:color w:val="000000"/>
          <w:kern w:val="0"/>
          <w:sz w:val="31"/>
          <w:szCs w:val="31"/>
          <w:lang w:val="en-US" w:eastAsia="zh-CN" w:bidi="ar"/>
        </w:rPr>
        <w:t>（款）机关事业单位职业年金缴费支出（项）:</w:t>
      </w:r>
      <w:r>
        <w:rPr>
          <w:rFonts w:ascii="仿宋_GB2312" w:hAnsi="仿宋_GB2312" w:eastAsia="仿宋_GB2312" w:cs="仿宋_GB2312"/>
          <w:color w:val="000000"/>
          <w:kern w:val="0"/>
          <w:sz w:val="31"/>
          <w:szCs w:val="31"/>
          <w:lang w:val="en-US" w:eastAsia="zh-CN" w:bidi="ar"/>
        </w:rPr>
        <w:t xml:space="preserve">支出决算为 </w:t>
      </w:r>
      <w:r>
        <w:rPr>
          <w:rFonts w:hint="eastAsia" w:ascii="仿宋_GB2312" w:hAnsi="仿宋_GB2312" w:eastAsia="仿宋_GB2312" w:cs="仿宋_GB2312"/>
          <w:color w:val="000000"/>
          <w:kern w:val="0"/>
          <w:sz w:val="31"/>
          <w:szCs w:val="31"/>
          <w:lang w:val="en-US" w:eastAsia="zh-CN" w:bidi="ar"/>
        </w:rPr>
        <w:t>268.80</w:t>
      </w:r>
      <w:r>
        <w:rPr>
          <w:rFonts w:ascii="仿宋_GB2312" w:hAnsi="仿宋_GB2312" w:eastAsia="仿宋_GB2312" w:cs="仿宋_GB2312"/>
          <w:color w:val="000000"/>
          <w:kern w:val="0"/>
          <w:sz w:val="31"/>
          <w:szCs w:val="31"/>
          <w:lang w:val="en-US" w:eastAsia="zh-CN" w:bidi="ar"/>
        </w:rPr>
        <w:t>万元，完成预算</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ind w:firstLine="622" w:firstLineChars="200"/>
        <w:jc w:val="left"/>
      </w:pPr>
      <w:r>
        <w:rPr>
          <w:rFonts w:hint="eastAsia" w:ascii="仿宋_GB2312" w:hAnsi="仿宋_GB2312" w:eastAsia="仿宋_GB2312" w:cs="仿宋_GB2312"/>
          <w:b/>
          <w:bCs/>
          <w:color w:val="000000"/>
          <w:kern w:val="0"/>
          <w:sz w:val="31"/>
          <w:szCs w:val="31"/>
          <w:lang w:val="en-US" w:eastAsia="zh-CN" w:bidi="ar"/>
        </w:rPr>
        <w:t>4</w:t>
      </w:r>
      <w:r>
        <w:rPr>
          <w:rFonts w:ascii="仿宋_GB2312" w:hAnsi="仿宋_GB2312" w:eastAsia="仿宋_GB2312" w:cs="仿宋_GB2312"/>
          <w:b/>
          <w:bCs/>
          <w:color w:val="000000"/>
          <w:kern w:val="0"/>
          <w:sz w:val="31"/>
          <w:szCs w:val="31"/>
          <w:lang w:val="en-US" w:eastAsia="zh-CN" w:bidi="ar"/>
        </w:rPr>
        <w:t>.社会保障和就业（类）</w:t>
      </w:r>
      <w:r>
        <w:rPr>
          <w:rFonts w:hint="eastAsia" w:ascii="仿宋_GB2312" w:hAnsi="仿宋_GB2312" w:eastAsia="仿宋_GB2312" w:cs="仿宋_GB2312"/>
          <w:b/>
          <w:bCs/>
          <w:color w:val="000000"/>
          <w:kern w:val="0"/>
          <w:sz w:val="31"/>
          <w:szCs w:val="31"/>
          <w:lang w:val="en-US" w:eastAsia="zh-CN" w:bidi="ar"/>
        </w:rPr>
        <w:t>其他社会保障和就业支出</w:t>
      </w:r>
      <w:r>
        <w:rPr>
          <w:rFonts w:ascii="仿宋_GB2312" w:hAnsi="仿宋_GB2312" w:eastAsia="仿宋_GB2312" w:cs="仿宋_GB2312"/>
          <w:b/>
          <w:bCs/>
          <w:color w:val="000000"/>
          <w:kern w:val="0"/>
          <w:sz w:val="31"/>
          <w:szCs w:val="31"/>
          <w:lang w:val="en-US" w:eastAsia="zh-CN" w:bidi="ar"/>
        </w:rPr>
        <w:t>（款）</w:t>
      </w:r>
      <w:r>
        <w:rPr>
          <w:rFonts w:hint="eastAsia" w:ascii="仿宋_GB2312" w:hAnsi="仿宋_GB2312" w:eastAsia="仿宋_GB2312" w:cs="仿宋_GB2312"/>
          <w:b/>
          <w:bCs/>
          <w:color w:val="000000"/>
          <w:kern w:val="0"/>
          <w:sz w:val="31"/>
          <w:szCs w:val="31"/>
          <w:lang w:val="en-US" w:eastAsia="zh-CN" w:bidi="ar"/>
        </w:rPr>
        <w:t>其他社会保障和就业支出</w:t>
      </w:r>
      <w:r>
        <w:rPr>
          <w:rFonts w:ascii="仿宋_GB2312" w:hAnsi="仿宋_GB2312" w:eastAsia="仿宋_GB2312" w:cs="仿宋_GB2312"/>
          <w:b/>
          <w:bCs/>
          <w:color w:val="000000"/>
          <w:kern w:val="0"/>
          <w:sz w:val="31"/>
          <w:szCs w:val="31"/>
          <w:lang w:val="en-US" w:eastAsia="zh-CN" w:bidi="ar"/>
        </w:rPr>
        <w:t>（项）:</w:t>
      </w:r>
      <w:r>
        <w:rPr>
          <w:rFonts w:ascii="仿宋_GB2312" w:hAnsi="仿宋_GB2312" w:eastAsia="仿宋_GB2312" w:cs="仿宋_GB2312"/>
          <w:color w:val="000000"/>
          <w:kern w:val="0"/>
          <w:sz w:val="31"/>
          <w:szCs w:val="31"/>
          <w:lang w:val="en-US" w:eastAsia="zh-CN" w:bidi="ar"/>
        </w:rPr>
        <w:t xml:space="preserve">支出决算为 </w:t>
      </w:r>
      <w:r>
        <w:rPr>
          <w:rFonts w:hint="eastAsia" w:ascii="仿宋_GB2312" w:hAnsi="仿宋_GB2312" w:eastAsia="仿宋_GB2312" w:cs="仿宋_GB2312"/>
          <w:color w:val="000000"/>
          <w:kern w:val="0"/>
          <w:sz w:val="31"/>
          <w:szCs w:val="31"/>
          <w:lang w:val="en-US" w:eastAsia="zh-CN" w:bidi="ar"/>
        </w:rPr>
        <w:t>0.66</w:t>
      </w:r>
      <w:r>
        <w:rPr>
          <w:rFonts w:ascii="仿宋_GB2312" w:hAnsi="仿宋_GB2312" w:eastAsia="仿宋_GB2312" w:cs="仿宋_GB2312"/>
          <w:color w:val="000000"/>
          <w:kern w:val="0"/>
          <w:sz w:val="31"/>
          <w:szCs w:val="31"/>
          <w:lang w:val="en-US" w:eastAsia="zh-CN" w:bidi="ar"/>
        </w:rPr>
        <w:t>万元，完成预算</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ind w:firstLine="643" w:firstLineChars="200"/>
        <w:jc w:val="left"/>
        <w:rPr>
          <w:rStyle w:val="15"/>
          <w:rFonts w:hint="eastAsia" w:ascii="仿宋" w:hAnsi="仿宋" w:eastAsia="仿宋"/>
          <w:b w:val="0"/>
          <w:bCs/>
          <w:color w:val="auto"/>
          <w:sz w:val="32"/>
          <w:szCs w:val="32"/>
        </w:rPr>
      </w:pPr>
      <w:r>
        <w:rPr>
          <w:rStyle w:val="15"/>
          <w:rFonts w:hint="eastAsia" w:ascii="仿宋" w:hAnsi="仿宋" w:eastAsia="仿宋"/>
          <w:bCs/>
          <w:color w:val="auto"/>
          <w:sz w:val="32"/>
          <w:szCs w:val="32"/>
          <w:lang w:val="en-US" w:eastAsia="zh-CN"/>
        </w:rPr>
        <w:t>5</w:t>
      </w:r>
      <w:r>
        <w:rPr>
          <w:rStyle w:val="15"/>
          <w:rFonts w:ascii="仿宋" w:hAnsi="仿宋" w:eastAsia="仿宋"/>
          <w:bCs/>
          <w:color w:val="auto"/>
          <w:sz w:val="32"/>
          <w:szCs w:val="32"/>
        </w:rPr>
        <w:t>.</w:t>
      </w:r>
      <w:r>
        <w:rPr>
          <w:rFonts w:hint="eastAsia" w:ascii="仿宋" w:hAnsi="仿宋" w:eastAsia="仿宋"/>
          <w:b/>
          <w:bCs/>
          <w:color w:val="auto"/>
          <w:sz w:val="32"/>
          <w:szCs w:val="32"/>
        </w:rPr>
        <w:t>卫生健康</w:t>
      </w:r>
      <w:r>
        <w:rPr>
          <w:rFonts w:ascii="仿宋_GB2312" w:hAnsi="仿宋_GB2312" w:eastAsia="仿宋_GB2312" w:cs="仿宋_GB2312"/>
          <w:b/>
          <w:bCs/>
          <w:color w:val="000000"/>
          <w:kern w:val="0"/>
          <w:sz w:val="31"/>
          <w:szCs w:val="31"/>
          <w:lang w:val="en-US" w:eastAsia="zh-CN" w:bidi="ar"/>
        </w:rPr>
        <w:t>（类）行政事业单位医疗（款）事业单位医疗（项）</w:t>
      </w:r>
      <w:r>
        <w:rPr>
          <w:rStyle w:val="15"/>
          <w:rFonts w:ascii="仿宋" w:hAnsi="仿宋" w:eastAsia="仿宋"/>
          <w:bCs/>
          <w:color w:val="auto"/>
          <w:sz w:val="32"/>
          <w:szCs w:val="32"/>
        </w:rPr>
        <w:t>:</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204</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p>
    <w:p>
      <w:pPr>
        <w:pStyle w:val="6"/>
        <w:ind w:firstLine="643" w:firstLineChars="200"/>
        <w:rPr>
          <w:rStyle w:val="15"/>
          <w:rFonts w:hint="eastAsia" w:ascii="仿宋" w:hAnsi="仿宋" w:eastAsia="仿宋"/>
          <w:b w:val="0"/>
          <w:bCs/>
          <w:color w:val="auto"/>
          <w:sz w:val="32"/>
          <w:szCs w:val="32"/>
        </w:rPr>
      </w:pPr>
      <w:r>
        <w:rPr>
          <w:rStyle w:val="15"/>
          <w:rFonts w:hint="eastAsia" w:ascii="仿宋" w:hAnsi="仿宋" w:eastAsia="仿宋"/>
          <w:bCs/>
          <w:color w:val="auto"/>
          <w:sz w:val="32"/>
          <w:szCs w:val="32"/>
          <w:lang w:val="en-US" w:eastAsia="zh-CN"/>
        </w:rPr>
        <w:t>6</w:t>
      </w:r>
      <w:r>
        <w:rPr>
          <w:rStyle w:val="15"/>
          <w:rFonts w:ascii="仿宋" w:hAnsi="仿宋" w:eastAsia="仿宋"/>
          <w:bCs/>
          <w:color w:val="auto"/>
          <w:sz w:val="32"/>
          <w:szCs w:val="32"/>
        </w:rPr>
        <w:t>.</w:t>
      </w:r>
      <w:r>
        <w:rPr>
          <w:rFonts w:hint="eastAsia" w:ascii="仿宋" w:hAnsi="仿宋" w:eastAsia="仿宋"/>
          <w:b/>
          <w:bCs/>
          <w:color w:val="auto"/>
          <w:sz w:val="32"/>
          <w:szCs w:val="32"/>
          <w:lang w:eastAsia="zh-CN"/>
        </w:rPr>
        <w:t>资源勘探工业信息等</w:t>
      </w:r>
      <w:r>
        <w:rPr>
          <w:rFonts w:ascii="仿宋_GB2312" w:hAnsi="仿宋_GB2312" w:eastAsia="仿宋_GB2312" w:cs="仿宋_GB2312"/>
          <w:b/>
          <w:bCs/>
          <w:color w:val="000000"/>
          <w:kern w:val="0"/>
          <w:sz w:val="31"/>
          <w:szCs w:val="31"/>
          <w:lang w:val="en-US" w:eastAsia="zh-CN" w:bidi="ar"/>
        </w:rPr>
        <w:t>（类）</w:t>
      </w:r>
      <w:r>
        <w:rPr>
          <w:rFonts w:hint="eastAsia" w:hAnsi="仿宋_GB2312" w:cs="仿宋_GB2312"/>
          <w:b/>
          <w:bCs/>
          <w:color w:val="000000"/>
          <w:kern w:val="0"/>
          <w:sz w:val="31"/>
          <w:szCs w:val="31"/>
          <w:lang w:val="en-US" w:eastAsia="zh-CN" w:bidi="ar"/>
        </w:rPr>
        <w:t>资源勘探开发</w:t>
      </w:r>
      <w:r>
        <w:rPr>
          <w:rFonts w:ascii="仿宋_GB2312" w:hAnsi="仿宋_GB2312" w:eastAsia="仿宋_GB2312" w:cs="仿宋_GB2312"/>
          <w:b/>
          <w:bCs/>
          <w:color w:val="000000"/>
          <w:kern w:val="0"/>
          <w:sz w:val="31"/>
          <w:szCs w:val="31"/>
          <w:lang w:val="en-US" w:eastAsia="zh-CN" w:bidi="ar"/>
        </w:rPr>
        <w:t>（款）</w:t>
      </w:r>
      <w:r>
        <w:rPr>
          <w:rFonts w:hint="eastAsia" w:hAnsi="仿宋_GB2312" w:cs="仿宋_GB2312"/>
          <w:b/>
          <w:bCs/>
          <w:color w:val="000000"/>
          <w:kern w:val="0"/>
          <w:sz w:val="31"/>
          <w:szCs w:val="31"/>
          <w:lang w:val="en-US" w:eastAsia="zh-CN" w:bidi="ar"/>
        </w:rPr>
        <w:t>其他资源勘探业支出</w:t>
      </w:r>
      <w:r>
        <w:rPr>
          <w:rFonts w:ascii="仿宋_GB2312" w:hAnsi="仿宋_GB2312" w:eastAsia="仿宋_GB2312" w:cs="仿宋_GB2312"/>
          <w:b/>
          <w:bCs/>
          <w:color w:val="000000"/>
          <w:kern w:val="0"/>
          <w:sz w:val="31"/>
          <w:szCs w:val="31"/>
          <w:lang w:val="en-US" w:eastAsia="zh-CN" w:bidi="ar"/>
        </w:rPr>
        <w:t>（项）</w:t>
      </w:r>
      <w:r>
        <w:rPr>
          <w:rStyle w:val="15"/>
          <w:rFonts w:ascii="仿宋" w:hAnsi="仿宋" w:eastAsia="仿宋"/>
          <w:bCs/>
          <w:color w:val="auto"/>
          <w:sz w:val="32"/>
          <w:szCs w:val="32"/>
        </w:rPr>
        <w:t>:</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3760.35</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p>
    <w:p>
      <w:pPr>
        <w:keepNext w:val="0"/>
        <w:keepLines w:val="0"/>
        <w:widowControl/>
        <w:suppressLineNumbers w:val="0"/>
        <w:ind w:firstLine="622" w:firstLineChars="200"/>
        <w:jc w:val="left"/>
        <w:rPr>
          <w:rStyle w:val="15"/>
          <w:rFonts w:hint="eastAsia" w:ascii="仿宋" w:hAnsi="仿宋" w:eastAsia="仿宋"/>
          <w:b w:val="0"/>
          <w:bCs/>
          <w:color w:val="auto"/>
          <w:sz w:val="32"/>
          <w:szCs w:val="32"/>
        </w:rPr>
      </w:pPr>
      <w:r>
        <w:rPr>
          <w:rFonts w:hint="eastAsia" w:ascii="仿宋_GB2312" w:hAnsi="仿宋_GB2312" w:eastAsia="仿宋_GB2312" w:cs="仿宋_GB2312"/>
          <w:b/>
          <w:bCs/>
          <w:color w:val="000000"/>
          <w:kern w:val="0"/>
          <w:sz w:val="31"/>
          <w:szCs w:val="31"/>
          <w:lang w:val="en-US" w:eastAsia="zh-CN" w:bidi="ar"/>
        </w:rPr>
        <w:t>7、</w:t>
      </w:r>
      <w:r>
        <w:rPr>
          <w:rFonts w:ascii="仿宋_GB2312" w:hAnsi="仿宋_GB2312" w:eastAsia="仿宋_GB2312" w:cs="仿宋_GB2312"/>
          <w:b/>
          <w:bCs/>
          <w:color w:val="000000"/>
          <w:kern w:val="0"/>
          <w:sz w:val="31"/>
          <w:szCs w:val="31"/>
          <w:lang w:val="en-US" w:eastAsia="zh-CN" w:bidi="ar"/>
        </w:rPr>
        <w:t>住房保障（类）住房改革支出（款）住房公积金（项）:</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290</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p>
    <w:p>
      <w:pPr>
        <w:tabs>
          <w:tab w:val="right" w:pos="8306"/>
        </w:tabs>
        <w:spacing w:line="600" w:lineRule="exact"/>
        <w:ind w:firstLine="640"/>
        <w:outlineLvl w:val="1"/>
        <w:rPr>
          <w:rStyle w:val="26"/>
          <w:color w:val="auto"/>
        </w:rPr>
      </w:pPr>
      <w:bookmarkStart w:id="34" w:name="_Toc15396608"/>
      <w:bookmarkStart w:id="35" w:name="_Toc15377214"/>
      <w:r>
        <w:rPr>
          <w:rFonts w:hint="eastAsia" w:ascii="黑体" w:eastAsia="黑体"/>
          <w:color w:val="auto"/>
          <w:sz w:val="32"/>
          <w:szCs w:val="32"/>
        </w:rPr>
        <w:t>六</w:t>
      </w:r>
      <w:r>
        <w:rPr>
          <w:rFonts w:hint="eastAsia" w:ascii="黑体" w:eastAsia="黑体"/>
          <w:b/>
          <w:color w:val="auto"/>
          <w:sz w:val="32"/>
          <w:szCs w:val="32"/>
        </w:rPr>
        <w:t>、</w:t>
      </w:r>
      <w:r>
        <w:rPr>
          <w:rFonts w:hint="eastAsia" w:ascii="黑体" w:hAnsi="黑体" w:eastAsia="黑体"/>
          <w:b/>
          <w:color w:val="auto"/>
          <w:sz w:val="32"/>
          <w:szCs w:val="32"/>
        </w:rPr>
        <w:t>一</w:t>
      </w:r>
      <w:r>
        <w:rPr>
          <w:rStyle w:val="26"/>
          <w:rFonts w:hint="eastAsia" w:ascii="黑体" w:hAnsi="黑体" w:eastAsia="黑体"/>
          <w:b w:val="0"/>
          <w:color w:val="auto"/>
        </w:rPr>
        <w:t>般公共预算财政拨款基本支出决算情况说明</w:t>
      </w:r>
      <w:bookmarkEnd w:id="34"/>
      <w:bookmarkEnd w:id="35"/>
      <w:r>
        <w:rPr>
          <w:rStyle w:val="26"/>
          <w:rFonts w:ascii="黑体" w:hAnsi="黑体" w:eastAsia="黑体"/>
          <w:b w:val="0"/>
          <w:color w:val="auto"/>
        </w:rPr>
        <w:tab/>
      </w:r>
    </w:p>
    <w:p>
      <w:pPr>
        <w:spacing w:line="600" w:lineRule="exact"/>
        <w:ind w:firstLine="645"/>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年一般公共预算财政拨款基本支出</w:t>
      </w:r>
      <w:r>
        <w:rPr>
          <w:rFonts w:hint="eastAsia" w:ascii="仿宋" w:hAnsi="仿宋" w:eastAsia="仿宋"/>
          <w:color w:val="auto"/>
          <w:sz w:val="32"/>
          <w:szCs w:val="32"/>
          <w:lang w:val="en-US" w:eastAsia="zh-CN"/>
        </w:rPr>
        <w:t>5389.22</w:t>
      </w:r>
      <w:r>
        <w:rPr>
          <w:rFonts w:hint="eastAsia" w:ascii="仿宋" w:hAnsi="仿宋" w:eastAsia="仿宋"/>
          <w:color w:val="auto"/>
          <w:sz w:val="32"/>
          <w:szCs w:val="32"/>
        </w:rPr>
        <w:t>万元，其中：</w:t>
      </w:r>
    </w:p>
    <w:p>
      <w:pPr>
        <w:spacing w:line="600" w:lineRule="exact"/>
        <w:ind w:firstLine="645"/>
        <w:rPr>
          <w:rFonts w:ascii="仿宋" w:hAnsi="仿宋" w:eastAsia="仿宋"/>
          <w:color w:val="auto"/>
          <w:sz w:val="32"/>
          <w:szCs w:val="32"/>
        </w:rPr>
      </w:pPr>
      <w:r>
        <w:rPr>
          <w:rFonts w:hint="eastAsia" w:ascii="仿宋" w:hAnsi="仿宋" w:eastAsia="仿宋"/>
          <w:color w:val="auto"/>
          <w:sz w:val="32"/>
          <w:szCs w:val="32"/>
        </w:rPr>
        <w:t>人员经费</w:t>
      </w:r>
      <w:r>
        <w:rPr>
          <w:rFonts w:hint="eastAsia" w:ascii="仿宋" w:hAnsi="仿宋" w:eastAsia="仿宋"/>
          <w:color w:val="auto"/>
          <w:sz w:val="32"/>
          <w:szCs w:val="32"/>
          <w:lang w:val="en-US" w:eastAsia="zh-CN"/>
        </w:rPr>
        <w:t>5268.84</w:t>
      </w:r>
      <w:r>
        <w:rPr>
          <w:rFonts w:hint="eastAsia" w:ascii="仿宋" w:hAnsi="仿宋" w:eastAsia="仿宋"/>
          <w:color w:val="auto"/>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auto"/>
          <w:sz w:val="32"/>
          <w:szCs w:val="32"/>
        </w:rPr>
        <w:br w:type="textWrapping"/>
      </w:r>
      <w:r>
        <w:rPr>
          <w:rFonts w:hint="eastAsia" w:ascii="仿宋" w:hAnsi="仿宋" w:eastAsia="仿宋"/>
          <w:color w:val="auto"/>
          <w:sz w:val="32"/>
          <w:szCs w:val="32"/>
        </w:rPr>
        <w:t>　　公用经费</w:t>
      </w:r>
      <w:r>
        <w:rPr>
          <w:rFonts w:hint="eastAsia" w:ascii="仿宋" w:hAnsi="仿宋" w:eastAsia="仿宋"/>
          <w:color w:val="auto"/>
          <w:sz w:val="32"/>
          <w:szCs w:val="32"/>
          <w:lang w:val="en-US" w:eastAsia="zh-CN"/>
        </w:rPr>
        <w:t>120.38</w:t>
      </w:r>
      <w:r>
        <w:rPr>
          <w:rFonts w:hint="eastAsia" w:ascii="仿宋" w:hAnsi="仿宋" w:eastAsia="仿宋"/>
          <w:color w:val="auto"/>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Fonts w:hint="eastAsia" w:ascii="黑体" w:eastAsia="黑体"/>
          <w:color w:val="auto"/>
          <w:sz w:val="32"/>
          <w:szCs w:val="32"/>
        </w:rPr>
      </w:pPr>
      <w:bookmarkStart w:id="36" w:name="_Toc15377215"/>
      <w:bookmarkStart w:id="37" w:name="_Toc15396609"/>
    </w:p>
    <w:p>
      <w:pPr>
        <w:numPr>
          <w:ilvl w:val="0"/>
          <w:numId w:val="5"/>
        </w:numPr>
        <w:spacing w:line="600" w:lineRule="exact"/>
        <w:ind w:firstLine="640"/>
        <w:outlineLvl w:val="1"/>
        <w:rPr>
          <w:rStyle w:val="26"/>
          <w:rFonts w:hint="eastAsia" w:ascii="黑体" w:hAnsi="黑体" w:eastAsia="黑体"/>
          <w:b w:val="0"/>
          <w:color w:val="auto"/>
        </w:rPr>
      </w:pPr>
      <w:r>
        <w:rPr>
          <w:rStyle w:val="26"/>
          <w:rFonts w:hint="eastAsia" w:ascii="黑体" w:hAnsi="黑体" w:eastAsia="黑体"/>
          <w:color w:val="auto"/>
        </w:rPr>
        <w:t>“</w:t>
      </w:r>
      <w:r>
        <w:rPr>
          <w:rStyle w:val="26"/>
          <w:rFonts w:hint="eastAsia" w:ascii="黑体" w:hAnsi="黑体" w:eastAsia="黑体"/>
          <w:b w:val="0"/>
          <w:color w:val="auto"/>
        </w:rPr>
        <w:t>三公”经费财政拨款支出决算情况说明</w:t>
      </w:r>
      <w:bookmarkEnd w:id="36"/>
      <w:bookmarkEnd w:id="37"/>
    </w:p>
    <w:p>
      <w:pPr>
        <w:pStyle w:val="6"/>
        <w:numPr>
          <w:ilvl w:val="0"/>
          <w:numId w:val="0"/>
        </w:num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2020年度本单位无“三公”经费财政拨款支出。本单位为事业单位，无三公经费,2019年三公经费为0，2020年三公经费为0，与上年度一致，与上年度相比无增减变化。</w:t>
      </w:r>
    </w:p>
    <w:p>
      <w:pPr>
        <w:spacing w:line="600" w:lineRule="exact"/>
        <w:ind w:firstLine="640"/>
        <w:outlineLvl w:val="1"/>
        <w:rPr>
          <w:rStyle w:val="26"/>
          <w:rFonts w:ascii="黑体" w:hAnsi="黑体" w:eastAsia="黑体"/>
          <w:color w:val="auto"/>
        </w:rPr>
      </w:pPr>
      <w:bookmarkStart w:id="38" w:name="_Toc15377218"/>
      <w:bookmarkStart w:id="39" w:name="_Toc15396610"/>
      <w:r>
        <w:rPr>
          <w:rFonts w:hint="eastAsia" w:ascii="黑体" w:eastAsia="黑体"/>
          <w:color w:val="auto"/>
          <w:sz w:val="32"/>
          <w:szCs w:val="32"/>
        </w:rPr>
        <w:t>八、</w:t>
      </w:r>
      <w:r>
        <w:rPr>
          <w:rStyle w:val="26"/>
          <w:rFonts w:hint="eastAsia" w:ascii="黑体" w:hAnsi="黑体" w:eastAsia="黑体"/>
          <w:b w:val="0"/>
          <w:color w:val="auto"/>
        </w:rPr>
        <w:t>政府性基金预算支出决算情况说明</w:t>
      </w:r>
      <w:bookmarkEnd w:id="38"/>
      <w:bookmarkEnd w:id="39"/>
    </w:p>
    <w:p>
      <w:pPr>
        <w:spacing w:line="600" w:lineRule="exact"/>
        <w:ind w:firstLine="64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年政府性基金预算</w:t>
      </w:r>
      <w:r>
        <w:rPr>
          <w:rFonts w:hint="eastAsia" w:ascii="仿宋_GB2312" w:eastAsia="仿宋_GB2312"/>
          <w:color w:val="auto"/>
          <w:sz w:val="32"/>
          <w:szCs w:val="32"/>
          <w:lang w:eastAsia="zh-CN"/>
        </w:rPr>
        <w:t>财政</w:t>
      </w:r>
      <w:r>
        <w:rPr>
          <w:rFonts w:hint="eastAsia" w:ascii="仿宋_GB2312" w:eastAsia="仿宋_GB2312"/>
          <w:color w:val="auto"/>
          <w:sz w:val="32"/>
          <w:szCs w:val="32"/>
        </w:rPr>
        <w:t>拨款支出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numPr>
          <w:ilvl w:val="0"/>
          <w:numId w:val="6"/>
        </w:numPr>
        <w:spacing w:line="600" w:lineRule="exact"/>
        <w:ind w:firstLine="640"/>
        <w:outlineLvl w:val="1"/>
        <w:rPr>
          <w:rStyle w:val="26"/>
          <w:rFonts w:ascii="黑体" w:hAnsi="黑体" w:eastAsia="黑体"/>
          <w:b w:val="0"/>
          <w:color w:val="auto"/>
        </w:rPr>
      </w:pPr>
      <w:bookmarkStart w:id="40" w:name="_Toc15396611"/>
      <w:bookmarkStart w:id="41" w:name="_Toc15377219"/>
      <w:r>
        <w:rPr>
          <w:rStyle w:val="26"/>
          <w:rFonts w:hint="eastAsia" w:ascii="黑体" w:hAnsi="黑体" w:eastAsia="黑体"/>
          <w:b w:val="0"/>
          <w:color w:val="auto"/>
        </w:rPr>
        <w:t>国有资本经营预算支出决算情况说明</w:t>
      </w:r>
      <w:bookmarkEnd w:id="40"/>
      <w:bookmarkEnd w:id="41"/>
    </w:p>
    <w:p>
      <w:pPr>
        <w:spacing w:line="600" w:lineRule="exact"/>
        <w:ind w:firstLine="640"/>
        <w:rPr>
          <w:rFonts w:ascii="方正小标宋简体" w:hAnsi="方正小标宋简体" w:eastAsia="方正小标宋简体" w:cs="方正小标宋简体"/>
          <w:color w:val="auto"/>
          <w:sz w:val="44"/>
          <w:szCs w:val="44"/>
        </w:rPr>
      </w:pP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年国有资本经营预算</w:t>
      </w:r>
      <w:r>
        <w:rPr>
          <w:rFonts w:hint="eastAsia" w:ascii="仿宋_GB2312" w:eastAsia="仿宋_GB2312"/>
          <w:color w:val="auto"/>
          <w:sz w:val="32"/>
          <w:szCs w:val="32"/>
          <w:lang w:eastAsia="zh-CN"/>
        </w:rPr>
        <w:t>财政</w:t>
      </w:r>
      <w:r>
        <w:rPr>
          <w:rFonts w:hint="eastAsia" w:ascii="仿宋_GB2312" w:eastAsia="仿宋_GB2312"/>
          <w:color w:val="auto"/>
          <w:sz w:val="32"/>
          <w:szCs w:val="32"/>
        </w:rPr>
        <w:t>拨款支出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numPr>
          <w:ilvl w:val="0"/>
          <w:numId w:val="6"/>
        </w:numPr>
        <w:spacing w:line="600" w:lineRule="exact"/>
        <w:ind w:firstLine="640"/>
        <w:outlineLvl w:val="1"/>
        <w:rPr>
          <w:rStyle w:val="26"/>
          <w:rFonts w:hint="eastAsia" w:ascii="黑体" w:hAnsi="黑体" w:eastAsia="黑体"/>
          <w:b w:val="0"/>
          <w:color w:val="auto"/>
        </w:rPr>
      </w:pPr>
      <w:bookmarkStart w:id="42" w:name="_Toc15377221"/>
      <w:bookmarkStart w:id="43" w:name="_Toc15396612"/>
      <w:r>
        <w:rPr>
          <w:rStyle w:val="26"/>
          <w:rFonts w:hint="eastAsia" w:ascii="黑体" w:hAnsi="黑体" w:eastAsia="黑体"/>
          <w:b w:val="0"/>
          <w:color w:val="auto"/>
        </w:rPr>
        <w:t>其他重要事项的情况说明</w:t>
      </w:r>
      <w:bookmarkEnd w:id="42"/>
      <w:bookmarkEnd w:id="43"/>
    </w:p>
    <w:p>
      <w:pPr>
        <w:spacing w:line="600" w:lineRule="exact"/>
        <w:ind w:firstLine="643" w:firstLineChars="200"/>
        <w:outlineLvl w:val="2"/>
        <w:rPr>
          <w:rFonts w:ascii="仿宋" w:hAnsi="仿宋" w:eastAsia="仿宋"/>
          <w:color w:val="auto"/>
          <w:sz w:val="32"/>
          <w:szCs w:val="32"/>
        </w:rPr>
      </w:pPr>
      <w:bookmarkStart w:id="44" w:name="_Toc15377222"/>
      <w:r>
        <w:rPr>
          <w:rFonts w:hint="eastAsia" w:ascii="仿宋" w:hAnsi="仿宋" w:eastAsia="仿宋"/>
          <w:b/>
          <w:color w:val="auto"/>
          <w:sz w:val="32"/>
          <w:szCs w:val="32"/>
        </w:rPr>
        <w:t>（一）机关运行经费支出情况</w:t>
      </w:r>
      <w:bookmarkEnd w:id="44"/>
    </w:p>
    <w:p>
      <w:pPr>
        <w:spacing w:line="600" w:lineRule="exact"/>
        <w:ind w:firstLine="640" w:firstLineChars="20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w:t>
      </w:r>
      <w:r>
        <w:rPr>
          <w:rFonts w:hint="eastAsia" w:ascii="仿宋_GB2312" w:eastAsia="仿宋_GB2312"/>
          <w:color w:val="auto"/>
          <w:sz w:val="32"/>
          <w:szCs w:val="32"/>
          <w:lang w:eastAsia="zh-CN"/>
        </w:rPr>
        <w:t>度本单位无</w:t>
      </w:r>
      <w:r>
        <w:rPr>
          <w:rFonts w:hint="eastAsia" w:ascii="仿宋_GB2312" w:eastAsia="仿宋_GB2312"/>
          <w:color w:val="auto"/>
          <w:sz w:val="32"/>
          <w:szCs w:val="32"/>
        </w:rPr>
        <w:t>机关运行经费支出。</w:t>
      </w:r>
    </w:p>
    <w:p>
      <w:pPr>
        <w:autoSpaceDE w:val="0"/>
        <w:autoSpaceDN w:val="0"/>
        <w:adjustRightInd w:val="0"/>
        <w:spacing w:line="600" w:lineRule="exact"/>
        <w:ind w:firstLine="643" w:firstLineChars="200"/>
        <w:jc w:val="left"/>
        <w:outlineLvl w:val="2"/>
        <w:rPr>
          <w:rFonts w:ascii="仿宋" w:hAnsi="仿宋" w:eastAsia="仿宋"/>
          <w:b/>
          <w:color w:val="auto"/>
          <w:sz w:val="32"/>
          <w:szCs w:val="32"/>
        </w:rPr>
      </w:pPr>
      <w:bookmarkStart w:id="45" w:name="_Toc15377223"/>
      <w:r>
        <w:rPr>
          <w:rFonts w:hint="eastAsia" w:ascii="仿宋" w:hAnsi="仿宋" w:eastAsia="仿宋"/>
          <w:b/>
          <w:color w:val="auto"/>
          <w:sz w:val="32"/>
          <w:szCs w:val="32"/>
        </w:rPr>
        <w:t>（二）政府采购支出情况</w:t>
      </w:r>
      <w:bookmarkEnd w:id="45"/>
    </w:p>
    <w:p>
      <w:pPr>
        <w:spacing w:line="600" w:lineRule="exact"/>
        <w:ind w:firstLine="640" w:firstLineChars="20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w:t>
      </w:r>
      <w:r>
        <w:rPr>
          <w:rFonts w:hint="eastAsia" w:ascii="仿宋_GB2312" w:eastAsia="仿宋_GB2312"/>
          <w:color w:val="auto"/>
          <w:sz w:val="32"/>
          <w:szCs w:val="32"/>
          <w:lang w:eastAsia="zh-CN"/>
        </w:rPr>
        <w:t>本度本单位无</w:t>
      </w:r>
      <w:r>
        <w:rPr>
          <w:rFonts w:hint="eastAsia" w:ascii="仿宋_GB2312" w:eastAsia="仿宋_GB2312"/>
          <w:color w:val="auto"/>
          <w:sz w:val="32"/>
          <w:szCs w:val="32"/>
        </w:rPr>
        <w:t>政府采购支出。</w:t>
      </w:r>
    </w:p>
    <w:p>
      <w:pPr>
        <w:autoSpaceDE w:val="0"/>
        <w:autoSpaceDN w:val="0"/>
        <w:adjustRightInd w:val="0"/>
        <w:spacing w:line="600" w:lineRule="exact"/>
        <w:ind w:firstLine="643" w:firstLineChars="200"/>
        <w:jc w:val="left"/>
        <w:outlineLvl w:val="2"/>
        <w:rPr>
          <w:rFonts w:ascii="仿宋" w:hAnsi="仿宋" w:eastAsia="仿宋"/>
          <w:b/>
          <w:color w:val="auto"/>
          <w:sz w:val="32"/>
          <w:szCs w:val="32"/>
        </w:rPr>
      </w:pPr>
      <w:bookmarkStart w:id="46" w:name="_Toc15377224"/>
      <w:r>
        <w:rPr>
          <w:rFonts w:hint="eastAsia" w:ascii="仿宋" w:hAnsi="仿宋" w:eastAsia="仿宋"/>
          <w:b/>
          <w:color w:val="auto"/>
          <w:sz w:val="32"/>
          <w:szCs w:val="32"/>
        </w:rPr>
        <w:t>（三）国有资产占有使用情况</w:t>
      </w:r>
      <w:bookmarkEnd w:id="46"/>
    </w:p>
    <w:p>
      <w:pPr>
        <w:autoSpaceDE w:val="0"/>
        <w:autoSpaceDN w:val="0"/>
        <w:adjustRightInd w:val="0"/>
        <w:spacing w:line="600" w:lineRule="exact"/>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截至</w:t>
      </w: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w:t>
      </w:r>
      <w:r>
        <w:rPr>
          <w:rFonts w:ascii="仿宋_GB2312" w:eastAsia="仿宋_GB2312"/>
          <w:color w:val="auto"/>
          <w:sz w:val="32"/>
          <w:szCs w:val="32"/>
        </w:rPr>
        <w:t>12</w:t>
      </w:r>
      <w:r>
        <w:rPr>
          <w:rFonts w:hint="eastAsia" w:ascii="仿宋_GB2312" w:eastAsia="仿宋_GB2312"/>
          <w:color w:val="auto"/>
          <w:sz w:val="32"/>
          <w:szCs w:val="32"/>
        </w:rPr>
        <w:t>月</w:t>
      </w:r>
      <w:r>
        <w:rPr>
          <w:rFonts w:ascii="仿宋_GB2312" w:eastAsia="仿宋_GB2312"/>
          <w:color w:val="auto"/>
          <w:sz w:val="32"/>
          <w:szCs w:val="32"/>
        </w:rPr>
        <w:t>31</w:t>
      </w:r>
      <w:r>
        <w:rPr>
          <w:rFonts w:hint="eastAsia" w:ascii="仿宋_GB2312" w:eastAsia="仿宋_GB2312"/>
          <w:color w:val="auto"/>
          <w:sz w:val="32"/>
          <w:szCs w:val="32"/>
        </w:rPr>
        <w:t>日，</w:t>
      </w:r>
      <w:r>
        <w:rPr>
          <w:rFonts w:hint="eastAsia" w:ascii="仿宋_GB2312" w:eastAsia="仿宋_GB2312"/>
          <w:color w:val="auto"/>
          <w:sz w:val="32"/>
          <w:szCs w:val="32"/>
          <w:lang w:val="en-US" w:eastAsia="zh-CN"/>
        </w:rPr>
        <w:t>108地质队</w:t>
      </w:r>
      <w:r>
        <w:rPr>
          <w:rFonts w:hint="eastAsia" w:ascii="仿宋_GB2312" w:eastAsia="仿宋_GB2312"/>
          <w:color w:val="auto"/>
          <w:sz w:val="32"/>
          <w:szCs w:val="32"/>
        </w:rPr>
        <w:t>共有车辆</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辆，其中：主要领导干部用车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辆、机要通信用车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辆、应急保障用车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辆、其他用车</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辆</w:t>
      </w:r>
      <w:r>
        <w:rPr>
          <w:rFonts w:hint="eastAsia" w:ascii="仿宋_GB2312" w:eastAsia="仿宋_GB2312"/>
          <w:color w:val="auto"/>
          <w:sz w:val="32"/>
          <w:szCs w:val="32"/>
          <w:lang w:eastAsia="zh-CN"/>
        </w:rPr>
        <w:t>，</w:t>
      </w:r>
      <w:r>
        <w:rPr>
          <w:rFonts w:hint="eastAsia" w:ascii="仿宋_GB2312" w:eastAsia="仿宋_GB2312"/>
          <w:color w:val="auto"/>
          <w:sz w:val="32"/>
          <w:szCs w:val="32"/>
        </w:rPr>
        <w:t>其他用车主要是用于</w:t>
      </w:r>
      <w:r>
        <w:rPr>
          <w:rFonts w:hint="eastAsia" w:ascii="仿宋_GB2312" w:eastAsia="仿宋_GB2312"/>
          <w:color w:val="auto"/>
          <w:sz w:val="32"/>
          <w:szCs w:val="32"/>
          <w:lang w:eastAsia="zh-CN"/>
        </w:rPr>
        <w:t>单位野外业务用车。</w:t>
      </w:r>
      <w:r>
        <w:rPr>
          <w:rFonts w:hint="eastAsia" w:ascii="仿宋_GB2312" w:eastAsia="仿宋_GB2312"/>
          <w:color w:val="auto"/>
          <w:sz w:val="32"/>
          <w:szCs w:val="32"/>
        </w:rPr>
        <w:t>单价</w:t>
      </w:r>
      <w:r>
        <w:rPr>
          <w:rFonts w:ascii="仿宋_GB2312" w:eastAsia="仿宋_GB2312"/>
          <w:color w:val="auto"/>
          <w:sz w:val="32"/>
          <w:szCs w:val="32"/>
        </w:rPr>
        <w:t>50</w:t>
      </w:r>
      <w:r>
        <w:rPr>
          <w:rFonts w:hint="eastAsia" w:ascii="仿宋_GB2312" w:eastAsia="仿宋_GB2312"/>
          <w:color w:val="auto"/>
          <w:sz w:val="32"/>
          <w:szCs w:val="32"/>
        </w:rPr>
        <w:t>万元以上通用设备</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台（套），单价</w:t>
      </w:r>
      <w:r>
        <w:rPr>
          <w:rFonts w:ascii="仿宋_GB2312" w:eastAsia="仿宋_GB2312"/>
          <w:color w:val="auto"/>
          <w:sz w:val="32"/>
          <w:szCs w:val="32"/>
        </w:rPr>
        <w:t>100</w:t>
      </w:r>
      <w:r>
        <w:rPr>
          <w:rFonts w:hint="eastAsia" w:ascii="仿宋_GB2312" w:eastAsia="仿宋_GB2312"/>
          <w:color w:val="auto"/>
          <w:sz w:val="32"/>
          <w:szCs w:val="32"/>
        </w:rPr>
        <w:t>万元以上专用设备</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lang w:eastAsia="zh-CN"/>
        </w:rPr>
      </w:pPr>
      <w:r>
        <w:rPr>
          <w:rFonts w:hint="eastAsia" w:ascii="仿宋" w:hAnsi="仿宋" w:eastAsia="仿宋"/>
          <w:b/>
          <w:color w:val="auto"/>
          <w:sz w:val="32"/>
          <w:szCs w:val="32"/>
        </w:rPr>
        <w:t>（四）预算绩效管理情况</w:t>
      </w:r>
    </w:p>
    <w:p>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根据预算绩效管理要求，本单位在</w:t>
      </w:r>
      <w:r>
        <w:rPr>
          <w:rFonts w:hint="eastAsia" w:ascii="仿宋_GB2312" w:hAnsi="仿宋_GB2312" w:eastAsia="仿宋_GB2312" w:cs="仿宋_GB2312"/>
          <w:color w:val="auto"/>
          <w:sz w:val="32"/>
          <w:szCs w:val="32"/>
          <w:lang w:val="en-US" w:eastAsia="zh-CN"/>
        </w:rPr>
        <w:t>2020年度</w:t>
      </w:r>
      <w:r>
        <w:rPr>
          <w:rFonts w:hint="eastAsia" w:ascii="仿宋_GB2312" w:hAnsi="仿宋_GB2312" w:eastAsia="仿宋_GB2312" w:cs="仿宋_GB2312"/>
          <w:color w:val="auto"/>
          <w:sz w:val="32"/>
          <w:szCs w:val="32"/>
        </w:rPr>
        <w:t>预算编制阶段，</w:t>
      </w:r>
      <w:r>
        <w:rPr>
          <w:rFonts w:hint="eastAsia" w:ascii="仿宋_GB2312" w:hAnsi="仿宋_GB2312" w:eastAsia="仿宋_GB2312" w:cs="仿宋_GB2312"/>
          <w:color w:val="auto"/>
          <w:sz w:val="32"/>
          <w:szCs w:val="32"/>
          <w:lang w:eastAsia="zh-CN"/>
        </w:rPr>
        <w:t>所有</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eastAsia="zh-CN"/>
        </w:rPr>
        <w:t>都不涉及</w:t>
      </w:r>
      <w:r>
        <w:rPr>
          <w:rFonts w:hint="eastAsia" w:ascii="仿宋_GB2312" w:hAnsi="仿宋_GB2312" w:eastAsia="仿宋_GB2312" w:cs="仿宋_GB2312"/>
          <w:color w:val="auto"/>
          <w:sz w:val="32"/>
          <w:szCs w:val="32"/>
        </w:rPr>
        <w:t>编制绩效目标</w:t>
      </w:r>
      <w:r>
        <w:rPr>
          <w:rFonts w:hint="eastAsia" w:ascii="仿宋_GB2312" w:hAnsi="仿宋_GB2312" w:eastAsia="仿宋_GB2312" w:cs="仿宋_GB2312"/>
          <w:color w:val="auto"/>
          <w:sz w:val="32"/>
          <w:szCs w:val="32"/>
          <w:lang w:eastAsia="zh-CN"/>
        </w:rPr>
        <w:t>。</w:t>
      </w:r>
    </w:p>
    <w:p>
      <w:pPr>
        <w:pStyle w:val="6"/>
        <w:rPr>
          <w:rFonts w:hint="eastAsia" w:ascii="仿宋_GB2312" w:hAnsi="仿宋_GB2312" w:eastAsia="仿宋_GB2312" w:cs="仿宋_GB2312"/>
          <w:color w:val="auto"/>
          <w:sz w:val="32"/>
          <w:szCs w:val="32"/>
          <w:lang w:eastAsia="zh-CN"/>
        </w:rPr>
      </w:pPr>
    </w:p>
    <w:p>
      <w:pPr>
        <w:pStyle w:val="6"/>
        <w:rPr>
          <w:rFonts w:hint="eastAsia" w:ascii="仿宋_GB2312" w:hAnsi="仿宋_GB2312" w:eastAsia="仿宋_GB2312" w:cs="仿宋_GB2312"/>
          <w:color w:val="auto"/>
          <w:sz w:val="32"/>
          <w:szCs w:val="32"/>
          <w:lang w:eastAsia="zh-CN"/>
        </w:rPr>
      </w:pPr>
    </w:p>
    <w:p>
      <w:pPr>
        <w:pStyle w:val="6"/>
        <w:rPr>
          <w:rFonts w:hint="eastAsia" w:ascii="仿宋_GB2312" w:hAnsi="仿宋_GB2312" w:eastAsia="仿宋_GB2312" w:cs="仿宋_GB2312"/>
          <w:color w:val="auto"/>
          <w:sz w:val="32"/>
          <w:szCs w:val="32"/>
          <w:lang w:eastAsia="zh-CN"/>
        </w:rPr>
      </w:pPr>
    </w:p>
    <w:p>
      <w:pPr>
        <w:pStyle w:val="6"/>
        <w:rPr>
          <w:rFonts w:hint="eastAsia" w:ascii="仿宋_GB2312" w:hAnsi="仿宋_GB2312" w:eastAsia="仿宋_GB2312" w:cs="仿宋_GB2312"/>
          <w:color w:val="auto"/>
          <w:sz w:val="32"/>
          <w:szCs w:val="32"/>
          <w:lang w:eastAsia="zh-CN"/>
        </w:rPr>
      </w:pPr>
    </w:p>
    <w:p>
      <w:pPr>
        <w:pStyle w:val="6"/>
        <w:rPr>
          <w:rFonts w:hint="eastAsia" w:ascii="仿宋_GB2312" w:hAnsi="仿宋_GB2312" w:eastAsia="仿宋_GB2312" w:cs="仿宋_GB2312"/>
          <w:color w:val="auto"/>
          <w:sz w:val="32"/>
          <w:szCs w:val="32"/>
          <w:lang w:eastAsia="zh-CN"/>
        </w:rPr>
      </w:pPr>
    </w:p>
    <w:p>
      <w:pPr>
        <w:pStyle w:val="6"/>
        <w:rPr>
          <w:rFonts w:hint="eastAsia" w:ascii="仿宋_GB2312" w:hAnsi="仿宋_GB2312" w:eastAsia="仿宋_GB2312" w:cs="仿宋_GB2312"/>
          <w:color w:val="auto"/>
          <w:sz w:val="32"/>
          <w:szCs w:val="32"/>
          <w:lang w:eastAsia="zh-CN"/>
        </w:rPr>
      </w:pPr>
    </w:p>
    <w:p>
      <w:pPr>
        <w:pStyle w:val="6"/>
        <w:rPr>
          <w:rFonts w:hint="eastAsia" w:ascii="仿宋_GB2312" w:hAnsi="仿宋_GB2312" w:eastAsia="仿宋_GB2312" w:cs="仿宋_GB2312"/>
          <w:color w:val="auto"/>
          <w:sz w:val="32"/>
          <w:szCs w:val="32"/>
          <w:lang w:eastAsia="zh-CN"/>
        </w:rPr>
      </w:pPr>
    </w:p>
    <w:p>
      <w:pPr>
        <w:pStyle w:val="6"/>
        <w:rPr>
          <w:rFonts w:hint="eastAsia" w:ascii="仿宋_GB2312" w:hAnsi="仿宋_GB2312" w:eastAsia="仿宋_GB2312" w:cs="仿宋_GB2312"/>
          <w:color w:val="auto"/>
          <w:sz w:val="32"/>
          <w:szCs w:val="32"/>
          <w:lang w:eastAsia="zh-CN"/>
        </w:rPr>
      </w:pPr>
    </w:p>
    <w:p>
      <w:pPr>
        <w:pStyle w:val="6"/>
        <w:rPr>
          <w:rFonts w:hint="eastAsia" w:ascii="仿宋_GB2312" w:hAnsi="仿宋_GB2312" w:eastAsia="仿宋_GB2312" w:cs="仿宋_GB2312"/>
          <w:color w:val="auto"/>
          <w:sz w:val="32"/>
          <w:szCs w:val="32"/>
          <w:lang w:eastAsia="zh-CN"/>
        </w:rPr>
      </w:pPr>
    </w:p>
    <w:p>
      <w:pPr>
        <w:pStyle w:val="6"/>
        <w:rPr>
          <w:rFonts w:hint="eastAsia" w:ascii="仿宋_GB2312" w:hAnsi="仿宋_GB2312" w:eastAsia="仿宋_GB2312" w:cs="仿宋_GB2312"/>
          <w:color w:val="auto"/>
          <w:sz w:val="32"/>
          <w:szCs w:val="32"/>
          <w:lang w:eastAsia="zh-CN"/>
        </w:rPr>
      </w:pPr>
    </w:p>
    <w:p>
      <w:pPr>
        <w:pStyle w:val="6"/>
        <w:rPr>
          <w:rFonts w:hint="eastAsia" w:ascii="仿宋_GB2312" w:hAnsi="仿宋_GB2312" w:eastAsia="仿宋_GB2312" w:cs="仿宋_GB2312"/>
          <w:color w:val="auto"/>
          <w:sz w:val="32"/>
          <w:szCs w:val="32"/>
          <w:lang w:eastAsia="zh-CN"/>
        </w:rPr>
      </w:pPr>
    </w:p>
    <w:p>
      <w:pPr>
        <w:pStyle w:val="6"/>
        <w:rPr>
          <w:rFonts w:hint="eastAsia" w:ascii="仿宋_GB2312" w:hAnsi="仿宋_GB2312" w:eastAsia="仿宋_GB2312" w:cs="仿宋_GB2312"/>
          <w:color w:val="auto"/>
          <w:sz w:val="32"/>
          <w:szCs w:val="32"/>
          <w:lang w:eastAsia="zh-CN"/>
        </w:rPr>
      </w:pPr>
    </w:p>
    <w:p>
      <w:pPr>
        <w:pStyle w:val="6"/>
        <w:rPr>
          <w:rFonts w:hint="eastAsia" w:ascii="仿宋_GB2312" w:hAnsi="仿宋_GB2312" w:eastAsia="仿宋_GB2312" w:cs="仿宋_GB2312"/>
          <w:color w:val="auto"/>
          <w:sz w:val="32"/>
          <w:szCs w:val="32"/>
          <w:lang w:eastAsia="zh-CN"/>
        </w:rPr>
      </w:pPr>
    </w:p>
    <w:p>
      <w:pPr>
        <w:pStyle w:val="6"/>
        <w:rPr>
          <w:rFonts w:hint="eastAsia" w:ascii="仿宋_GB2312" w:hAnsi="仿宋_GB2312" w:eastAsia="仿宋_GB2312" w:cs="仿宋_GB2312"/>
          <w:color w:val="auto"/>
          <w:sz w:val="32"/>
          <w:szCs w:val="32"/>
          <w:lang w:eastAsia="zh-CN"/>
        </w:rPr>
      </w:pPr>
    </w:p>
    <w:p>
      <w:pPr>
        <w:pStyle w:val="6"/>
        <w:rPr>
          <w:rFonts w:hint="eastAsia" w:ascii="仿宋_GB2312" w:hAnsi="仿宋_GB2312" w:eastAsia="仿宋_GB2312" w:cs="仿宋_GB2312"/>
          <w:color w:val="auto"/>
          <w:sz w:val="32"/>
          <w:szCs w:val="32"/>
          <w:lang w:eastAsia="zh-CN"/>
        </w:rPr>
      </w:pPr>
    </w:p>
    <w:p>
      <w:pPr>
        <w:pStyle w:val="6"/>
        <w:rPr>
          <w:rFonts w:hint="eastAsia" w:ascii="仿宋_GB2312" w:hAnsi="仿宋_GB2312" w:eastAsia="仿宋_GB2312" w:cs="仿宋_GB2312"/>
          <w:color w:val="auto"/>
          <w:sz w:val="32"/>
          <w:szCs w:val="32"/>
          <w:lang w:eastAsia="zh-CN"/>
        </w:rPr>
      </w:pPr>
    </w:p>
    <w:p>
      <w:pPr>
        <w:numPr>
          <w:ilvl w:val="0"/>
          <w:numId w:val="7"/>
        </w:numPr>
        <w:spacing w:line="600" w:lineRule="exact"/>
        <w:ind w:firstLine="660" w:firstLineChars="150"/>
        <w:jc w:val="center"/>
        <w:outlineLvl w:val="0"/>
        <w:rPr>
          <w:rStyle w:val="25"/>
          <w:rFonts w:ascii="黑体" w:hAnsi="黑体" w:eastAsia="黑体"/>
          <w:b w:val="0"/>
        </w:rPr>
      </w:pPr>
      <w:bookmarkStart w:id="47" w:name="_Toc15396613"/>
      <w:bookmarkStart w:id="48" w:name="_Toc15377225"/>
      <w:r>
        <w:rPr>
          <w:rFonts w:hint="eastAsia" w:ascii="黑体" w:hAnsi="黑体" w:eastAsia="黑体"/>
          <w:color w:val="000000"/>
          <w:sz w:val="44"/>
          <w:szCs w:val="44"/>
        </w:rPr>
        <w:t>名</w:t>
      </w:r>
      <w:r>
        <w:rPr>
          <w:rStyle w:val="25"/>
          <w:rFonts w:hint="eastAsia" w:ascii="黑体" w:hAnsi="黑体" w:eastAsia="黑体"/>
          <w:b w:val="0"/>
        </w:rPr>
        <w:t>词解释</w:t>
      </w:r>
      <w:bookmarkEnd w:id="47"/>
      <w:bookmarkEnd w:id="48"/>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hint="eastAsia" w:ascii="仿宋_GB2312" w:eastAsia="仿宋"/>
          <w:sz w:val="32"/>
          <w:szCs w:val="32"/>
          <w:lang w:eastAsia="zh-CN"/>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经营收入：指事业单位在专业业务活动及其辅助活动之外开展非独立核算经营活动取得的收入。</w:t>
      </w:r>
      <w:r>
        <w:rPr>
          <w:rFonts w:hint="eastAsia" w:hAnsi="仿宋"/>
          <w:sz w:val="32"/>
          <w:szCs w:val="32"/>
        </w:rPr>
        <w:t>如单位开展</w:t>
      </w:r>
      <w:r>
        <w:rPr>
          <w:rFonts w:hint="eastAsia" w:hAnsi="仿宋"/>
          <w:sz w:val="32"/>
          <w:szCs w:val="32"/>
          <w:lang w:eastAsia="zh-CN"/>
        </w:rPr>
        <w:t>勘察钻探施工</w:t>
      </w:r>
      <w:r>
        <w:rPr>
          <w:rFonts w:hint="eastAsia" w:hAnsi="仿宋"/>
          <w:sz w:val="32"/>
          <w:szCs w:val="32"/>
        </w:rPr>
        <w:t>取得的收入等</w:t>
      </w:r>
      <w:r>
        <w:rPr>
          <w:rFonts w:hint="eastAsia" w:hAnsi="仿宋"/>
          <w:sz w:val="32"/>
          <w:szCs w:val="32"/>
          <w:lang w:eastAsia="zh-CN"/>
        </w:rPr>
        <w:t>。</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其他收入：指单位取得的除上述收入以外的各项收入。主要是</w:t>
      </w:r>
      <w:r>
        <w:rPr>
          <w:rFonts w:hint="eastAsia" w:ascii="仿宋_GB2312" w:eastAsia="仿宋_GB2312"/>
          <w:sz w:val="32"/>
          <w:szCs w:val="32"/>
          <w:lang w:eastAsia="zh-CN"/>
        </w:rPr>
        <w:t>债务预算收入</w:t>
      </w:r>
      <w:r>
        <w:rPr>
          <w:rFonts w:hint="eastAsia" w:ascii="仿宋_GB2312" w:eastAsia="仿宋_GB2312"/>
          <w:sz w:val="32"/>
          <w:szCs w:val="32"/>
        </w:rPr>
        <w:t>等。</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lang w:eastAsia="zh-CN"/>
        </w:rPr>
        <w:t>使用非财政拨款结余</w:t>
      </w:r>
      <w:r>
        <w:rPr>
          <w:rFonts w:hint="eastAsia" w:ascii="仿宋_GB2312" w:eastAsia="仿宋_GB2312"/>
          <w:sz w:val="32"/>
          <w:szCs w:val="32"/>
        </w:rPr>
        <w:t>：指事业单位</w:t>
      </w:r>
      <w:r>
        <w:rPr>
          <w:rFonts w:hint="eastAsia" w:ascii="仿宋_GB2312" w:eastAsia="仿宋_GB2312"/>
          <w:sz w:val="32"/>
          <w:szCs w:val="32"/>
          <w:lang w:eastAsia="zh-CN"/>
        </w:rPr>
        <w:t>使用以前年度积累的非财政拨款结余弥补当年收支差额的金额。</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w:t>
      </w:r>
      <w:r>
        <w:rPr>
          <w:rFonts w:hint="eastAsia" w:ascii="仿宋_GB2312" w:eastAsia="仿宋_GB2312"/>
          <w:sz w:val="32"/>
          <w:szCs w:val="32"/>
          <w:lang w:eastAsia="zh-CN"/>
        </w:rPr>
        <w:t>缴纳的所得税、提取的专用结余以及转入非财政拨款结余的金额</w:t>
      </w:r>
      <w:r>
        <w:rPr>
          <w:rFonts w:hint="eastAsia" w:ascii="仿宋_GB2312" w:eastAsia="仿宋_GB2312"/>
          <w:sz w:val="32"/>
          <w:szCs w:val="32"/>
        </w:rPr>
        <w:t>等。</w:t>
      </w:r>
    </w:p>
    <w:p>
      <w:pPr>
        <w:pStyle w:val="23"/>
        <w:spacing w:line="560" w:lineRule="exact"/>
        <w:ind w:firstLine="640" w:firstLineChars="200"/>
        <w:rPr>
          <w:rFonts w:hint="eastAsia"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val="en-US" w:eastAsia="zh-CN"/>
        </w:rPr>
        <w:t>9</w:t>
      </w:r>
      <w:r>
        <w:rPr>
          <w:rFonts w:ascii="仿宋" w:hAnsi="仿宋" w:eastAsia="仿宋"/>
          <w:color w:val="000000"/>
          <w:sz w:val="32"/>
          <w:szCs w:val="32"/>
        </w:rPr>
        <w:t>.</w:t>
      </w:r>
      <w:r>
        <w:rPr>
          <w:rFonts w:hint="eastAsia" w:ascii="仿宋" w:hAnsi="仿宋" w:eastAsia="仿宋"/>
          <w:color w:val="000000"/>
          <w:sz w:val="32"/>
          <w:szCs w:val="32"/>
        </w:rPr>
        <w:t>社会保障和就业支出（类）行政事业单位养老支出（款）事业单位离退休（项）：指单位的离退休人员的支出。</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val="en-US" w:eastAsia="zh-CN"/>
        </w:rPr>
        <w:t>10</w:t>
      </w:r>
      <w:r>
        <w:rPr>
          <w:rFonts w:ascii="仿宋" w:hAnsi="仿宋" w:eastAsia="仿宋"/>
          <w:color w:val="000000"/>
          <w:sz w:val="32"/>
          <w:szCs w:val="32"/>
        </w:rPr>
        <w:t>.</w:t>
      </w:r>
      <w:r>
        <w:rPr>
          <w:rFonts w:hint="eastAsia" w:ascii="仿宋" w:hAnsi="仿宋" w:eastAsia="仿宋"/>
          <w:color w:val="000000"/>
          <w:sz w:val="32"/>
          <w:szCs w:val="32"/>
        </w:rPr>
        <w:t xml:space="preserve"> 社会保障和就业支出（类）行政事业单位养老支出（款）机关事业单位基本养老保险缴费支出（项）：指实施养老保险制度，由单位缴纳的养老保险费支出。</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val="en-US" w:eastAsia="zh-CN"/>
        </w:rPr>
        <w:t>11</w:t>
      </w:r>
      <w:r>
        <w:rPr>
          <w:rFonts w:ascii="仿宋" w:hAnsi="仿宋" w:eastAsia="仿宋"/>
          <w:color w:val="000000"/>
          <w:sz w:val="32"/>
          <w:szCs w:val="32"/>
        </w:rPr>
        <w:t>.</w:t>
      </w:r>
      <w:r>
        <w:rPr>
          <w:rFonts w:hint="eastAsia" w:ascii="仿宋" w:hAnsi="仿宋" w:eastAsia="仿宋"/>
          <w:color w:val="000000"/>
          <w:sz w:val="32"/>
          <w:szCs w:val="32"/>
        </w:rPr>
        <w:t xml:space="preserve"> 社会保障和就业支出（类）行政事业单位养老支出（款）机关事业单位职业年金缴费支出：指指实施养老保险制度，由单位缴纳的职业年金支出。</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val="en-US" w:eastAsia="zh-CN"/>
        </w:rPr>
        <w:t>12</w:t>
      </w:r>
      <w:r>
        <w:rPr>
          <w:rFonts w:ascii="仿宋" w:hAnsi="仿宋" w:eastAsia="仿宋"/>
          <w:color w:val="000000"/>
          <w:sz w:val="32"/>
          <w:szCs w:val="32"/>
        </w:rPr>
        <w:t>.</w:t>
      </w:r>
      <w:r>
        <w:rPr>
          <w:rFonts w:hint="eastAsia" w:ascii="仿宋" w:hAnsi="仿宋" w:eastAsia="仿宋"/>
          <w:color w:val="000000"/>
          <w:sz w:val="32"/>
          <w:szCs w:val="32"/>
        </w:rPr>
        <w:t xml:space="preserve"> 社会保障和就业支出（类）抚恤（款）死亡抚恤（项）：指单位退休人员的死亡抚恤金。</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val="en-US" w:eastAsia="zh-CN"/>
        </w:rPr>
        <w:t>13</w:t>
      </w:r>
      <w:r>
        <w:rPr>
          <w:rFonts w:ascii="仿宋" w:hAnsi="仿宋" w:eastAsia="仿宋"/>
          <w:color w:val="000000"/>
          <w:sz w:val="32"/>
          <w:szCs w:val="32"/>
        </w:rPr>
        <w:t>.</w:t>
      </w:r>
      <w:r>
        <w:rPr>
          <w:rFonts w:hint="eastAsia" w:ascii="仿宋" w:hAnsi="仿宋" w:eastAsia="仿宋"/>
          <w:color w:val="000000"/>
          <w:sz w:val="32"/>
          <w:szCs w:val="32"/>
        </w:rPr>
        <w:t>社会保障和就业支出（类）其他社会保障和就业支出（款）其他社会保障和就业支出（项）：指单位为在职职工缴纳的工伤保险和失业保险。</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val="en-US" w:eastAsia="zh-CN"/>
        </w:rPr>
        <w:t>14</w:t>
      </w:r>
      <w:r>
        <w:rPr>
          <w:rFonts w:ascii="仿宋" w:hAnsi="仿宋" w:eastAsia="仿宋"/>
          <w:color w:val="000000"/>
          <w:sz w:val="32"/>
          <w:szCs w:val="32"/>
        </w:rPr>
        <w:t>.</w:t>
      </w:r>
      <w:r>
        <w:rPr>
          <w:rFonts w:hint="eastAsia" w:ascii="仿宋" w:hAnsi="仿宋" w:eastAsia="仿宋"/>
          <w:color w:val="000000"/>
          <w:sz w:val="32"/>
          <w:szCs w:val="32"/>
        </w:rPr>
        <w:t>卫生健康支出（类）行政职业单位医疗（款）事业单位医疗（项）：指单位为在职职工缴纳的医疗保险。</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val="en-US" w:eastAsia="zh-CN"/>
        </w:rPr>
        <w:t>15</w:t>
      </w:r>
      <w:r>
        <w:rPr>
          <w:rFonts w:ascii="仿宋" w:hAnsi="仿宋" w:eastAsia="仿宋"/>
          <w:color w:val="000000"/>
          <w:sz w:val="32"/>
          <w:szCs w:val="32"/>
        </w:rPr>
        <w:t>.</w:t>
      </w:r>
      <w:r>
        <w:rPr>
          <w:rFonts w:hint="eastAsia" w:ascii="仿宋" w:hAnsi="仿宋" w:eastAsia="仿宋"/>
          <w:color w:val="000000"/>
          <w:sz w:val="32"/>
          <w:szCs w:val="32"/>
        </w:rPr>
        <w:t>资源勘探工业信息等支出（类）资源勘探开发（款）其他资源勘探支出（项）：指为保障单位正常运转，完成日常工作任务而发生的人员支出和日常公用支出。</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color w:val="000000"/>
          <w:sz w:val="32"/>
          <w:szCs w:val="32"/>
          <w:lang w:val="en-US" w:eastAsia="zh-CN"/>
        </w:rPr>
        <w:t>6</w:t>
      </w:r>
      <w:r>
        <w:rPr>
          <w:rFonts w:ascii="仿宋" w:hAnsi="仿宋" w:eastAsia="仿宋"/>
          <w:color w:val="000000"/>
          <w:sz w:val="32"/>
          <w:szCs w:val="32"/>
        </w:rPr>
        <w:t>.</w:t>
      </w:r>
      <w:r>
        <w:rPr>
          <w:rFonts w:hint="eastAsia" w:ascii="仿宋" w:hAnsi="仿宋" w:eastAsia="仿宋"/>
          <w:color w:val="000000"/>
          <w:sz w:val="32"/>
          <w:szCs w:val="32"/>
        </w:rPr>
        <w:t>住房保障支出（类）住房改革支出（款）住房公积金（项）：指按照《住房公积金管理条例》的规定，由单位缴存的住房公积金。</w:t>
      </w:r>
    </w:p>
    <w:p>
      <w:pPr>
        <w:spacing w:line="600" w:lineRule="exact"/>
        <w:ind w:firstLine="640" w:firstLineChars="200"/>
        <w:rPr>
          <w:rFonts w:hint="eastAsia" w:ascii="仿宋_GB2312" w:eastAsia="仿宋_GB2312"/>
          <w:sz w:val="32"/>
          <w:szCs w:val="32"/>
        </w:rPr>
      </w:pPr>
      <w:r>
        <w:rPr>
          <w:rFonts w:hint="eastAsia" w:ascii="仿宋" w:hAnsi="仿宋" w:eastAsia="仿宋"/>
          <w:color w:val="000000"/>
          <w:sz w:val="32"/>
          <w:szCs w:val="32"/>
        </w:rPr>
        <w:t>1</w:t>
      </w:r>
      <w:r>
        <w:rPr>
          <w:rFonts w:hint="eastAsia" w:ascii="仿宋" w:hAnsi="仿宋" w:eastAsia="仿宋"/>
          <w:color w:val="000000"/>
          <w:sz w:val="32"/>
          <w:szCs w:val="32"/>
          <w:lang w:val="en-US" w:eastAsia="zh-CN"/>
        </w:rPr>
        <w:t>7</w:t>
      </w:r>
      <w:r>
        <w:rPr>
          <w:rFonts w:ascii="仿宋" w:hAnsi="仿宋" w:eastAsia="仿宋"/>
          <w:color w:val="000000"/>
          <w:sz w:val="32"/>
          <w:szCs w:val="32"/>
        </w:rPr>
        <w:t>.</w:t>
      </w:r>
      <w:r>
        <w:rPr>
          <w:rFonts w:hint="eastAsia" w:ascii="仿宋" w:hAnsi="仿宋" w:eastAsia="仿宋"/>
          <w:color w:val="000000"/>
          <w:sz w:val="32"/>
          <w:szCs w:val="32"/>
        </w:rPr>
        <w:t>住房保障支出（类）住房改革支出（款）购房补贴（项）：指按房改政策规定的标准，向符合条件的职工发放的用于购买住房的补贴。</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18</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19</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20</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21</w:t>
      </w:r>
      <w:r>
        <w:rPr>
          <w:rFonts w:ascii="仿宋_GB2312" w:eastAsia="仿宋_GB2312"/>
          <w:sz w:val="32"/>
          <w:szCs w:val="32"/>
        </w:rPr>
        <w:t>.</w:t>
      </w:r>
      <w:r>
        <w:rPr>
          <w:rFonts w:hint="eastAsia" w:ascii="仿宋_GB2312" w:eastAsia="仿宋_GB2312"/>
          <w:sz w:val="32"/>
          <w:szCs w:val="32"/>
        </w:rPr>
        <w:t>“三公”经费：指</w:t>
      </w:r>
      <w:r>
        <w:rPr>
          <w:rFonts w:hint="eastAsia" w:ascii="仿宋_GB2312" w:eastAsia="仿宋_GB2312"/>
          <w:sz w:val="32"/>
          <w:szCs w:val="32"/>
          <w:lang w:eastAsia="zh-CN"/>
        </w:rPr>
        <w:t>单位</w:t>
      </w:r>
      <w:r>
        <w:rPr>
          <w:rFonts w:hint="eastAsia" w:ascii="仿宋_GB2312" w:eastAsia="仿宋_GB2312"/>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22</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600" w:lineRule="exact"/>
        <w:ind w:firstLine="883" w:firstLineChars="200"/>
        <w:rPr>
          <w:rFonts w:ascii="仿宋_GB2312" w:hAnsi="仿宋_GB2312" w:eastAsia="仿宋_GB2312" w:cs="仿宋_GB2312"/>
          <w:color w:val="FF0000"/>
          <w:sz w:val="32"/>
          <w:szCs w:val="32"/>
        </w:rPr>
      </w:pPr>
      <w:bookmarkStart w:id="49" w:name="_Toc15377226"/>
      <w:r>
        <w:rPr>
          <w:rFonts w:ascii="宋体"/>
          <w:b/>
          <w:color w:val="000000"/>
          <w:sz w:val="44"/>
          <w:szCs w:val="44"/>
        </w:rPr>
        <w:br w:type="page"/>
      </w:r>
    </w:p>
    <w:p>
      <w:pPr>
        <w:spacing w:line="600" w:lineRule="exact"/>
        <w:jc w:val="center"/>
        <w:outlineLvl w:val="0"/>
        <w:rPr>
          <w:rFonts w:hint="eastAsia" w:ascii="仿宋" w:hAnsi="仿宋" w:eastAsia="仿宋"/>
          <w:b w:val="0"/>
          <w:color w:val="000000"/>
        </w:rPr>
      </w:pPr>
      <w:bookmarkStart w:id="50" w:name="_Toc15396618"/>
      <w:r>
        <w:rPr>
          <w:rFonts w:hint="eastAsia" w:ascii="黑体" w:hAnsi="黑体" w:eastAsia="黑体"/>
          <w:color w:val="000000"/>
          <w:sz w:val="44"/>
          <w:szCs w:val="44"/>
        </w:rPr>
        <w:t>第</w:t>
      </w:r>
      <w:r>
        <w:rPr>
          <w:rStyle w:val="25"/>
          <w:rFonts w:hint="eastAsia" w:ascii="黑体" w:hAnsi="黑体" w:eastAsia="黑体"/>
          <w:b w:val="0"/>
          <w:lang w:eastAsia="zh-CN"/>
        </w:rPr>
        <w:t>四</w:t>
      </w:r>
      <w:r>
        <w:rPr>
          <w:rStyle w:val="25"/>
          <w:rFonts w:hint="eastAsia" w:ascii="黑体" w:hAnsi="黑体" w:eastAsia="黑体"/>
          <w:b w:val="0"/>
        </w:rPr>
        <w:t>部分 附表</w:t>
      </w:r>
      <w:bookmarkEnd w:id="49"/>
      <w:bookmarkEnd w:id="50"/>
      <w:bookmarkStart w:id="51" w:name="_Toc15396619"/>
    </w:p>
    <w:p>
      <w:pPr>
        <w:pStyle w:val="4"/>
        <w:rPr>
          <w:rFonts w:ascii="仿宋" w:hAnsi="仿宋" w:eastAsia="仿宋"/>
          <w:color w:val="000000"/>
        </w:rPr>
      </w:pPr>
      <w:r>
        <w:rPr>
          <w:rFonts w:hint="eastAsia" w:ascii="仿宋" w:hAnsi="仿宋" w:eastAsia="仿宋"/>
          <w:b w:val="0"/>
          <w:color w:val="000000"/>
        </w:rPr>
        <w:t>一、收</w:t>
      </w:r>
      <w:r>
        <w:rPr>
          <w:rStyle w:val="26"/>
          <w:rFonts w:hint="eastAsia" w:ascii="仿宋" w:hAnsi="仿宋" w:eastAsia="仿宋"/>
          <w:b w:val="0"/>
          <w:bCs w:val="0"/>
        </w:rPr>
        <w:t>入支出决算总表</w:t>
      </w:r>
      <w:bookmarkEnd w:id="51"/>
    </w:p>
    <w:p>
      <w:pPr>
        <w:pStyle w:val="4"/>
        <w:rPr>
          <w:rFonts w:ascii="仿宋" w:hAnsi="仿宋" w:eastAsia="仿宋"/>
          <w:color w:val="000000"/>
        </w:rPr>
      </w:pPr>
      <w:bookmarkStart w:id="52" w:name="_Toc15396620"/>
      <w:r>
        <w:rPr>
          <w:rFonts w:hint="eastAsia" w:ascii="仿宋" w:hAnsi="仿宋" w:eastAsia="仿宋"/>
          <w:b w:val="0"/>
          <w:color w:val="000000"/>
        </w:rPr>
        <w:t>二、收</w:t>
      </w:r>
      <w:r>
        <w:rPr>
          <w:rStyle w:val="26"/>
          <w:rFonts w:hint="eastAsia" w:ascii="仿宋" w:hAnsi="仿宋" w:eastAsia="仿宋"/>
          <w:b w:val="0"/>
          <w:bCs w:val="0"/>
        </w:rPr>
        <w:t>入决算表</w:t>
      </w:r>
      <w:bookmarkEnd w:id="52"/>
    </w:p>
    <w:p>
      <w:pPr>
        <w:pStyle w:val="4"/>
        <w:rPr>
          <w:rFonts w:ascii="仿宋" w:hAnsi="仿宋" w:eastAsia="仿宋"/>
          <w:color w:val="000000"/>
        </w:rPr>
      </w:pPr>
      <w:bookmarkStart w:id="53"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53"/>
    </w:p>
    <w:p>
      <w:pPr>
        <w:pStyle w:val="4"/>
        <w:rPr>
          <w:rFonts w:ascii="仿宋" w:hAnsi="仿宋" w:eastAsia="仿宋"/>
          <w:b w:val="0"/>
          <w:color w:val="000000"/>
        </w:rPr>
      </w:pPr>
      <w:bookmarkStart w:id="54"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54"/>
    </w:p>
    <w:p>
      <w:pPr>
        <w:pStyle w:val="4"/>
        <w:rPr>
          <w:rStyle w:val="26"/>
          <w:rFonts w:ascii="仿宋" w:hAnsi="仿宋" w:eastAsia="仿宋"/>
          <w:b w:val="0"/>
          <w:bCs w:val="0"/>
        </w:rPr>
      </w:pPr>
      <w:bookmarkStart w:id="55"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55"/>
      <w:bookmarkStart w:id="56" w:name="_Toc15396624"/>
    </w:p>
    <w:p>
      <w:pPr>
        <w:pStyle w:val="4"/>
        <w:rPr>
          <w:rFonts w:ascii="仿宋" w:hAnsi="仿宋" w:eastAsia="仿宋"/>
          <w:color w:val="000000"/>
        </w:rPr>
      </w:pPr>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56"/>
    </w:p>
    <w:p>
      <w:pPr>
        <w:pStyle w:val="4"/>
        <w:rPr>
          <w:rFonts w:ascii="仿宋" w:hAnsi="仿宋" w:eastAsia="仿宋"/>
          <w:color w:val="000000"/>
        </w:rPr>
      </w:pPr>
      <w:bookmarkStart w:id="57"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57"/>
    </w:p>
    <w:p>
      <w:pPr>
        <w:pStyle w:val="4"/>
        <w:rPr>
          <w:rFonts w:ascii="仿宋" w:hAnsi="仿宋" w:eastAsia="仿宋"/>
          <w:color w:val="000000"/>
        </w:rPr>
      </w:pPr>
      <w:bookmarkStart w:id="58"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58"/>
    </w:p>
    <w:p>
      <w:pPr>
        <w:pStyle w:val="4"/>
        <w:rPr>
          <w:rFonts w:ascii="仿宋" w:hAnsi="仿宋" w:eastAsia="仿宋"/>
          <w:color w:val="000000"/>
        </w:rPr>
      </w:pPr>
      <w:bookmarkStart w:id="59"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59"/>
    </w:p>
    <w:p>
      <w:pPr>
        <w:pStyle w:val="4"/>
        <w:rPr>
          <w:rFonts w:ascii="仿宋" w:hAnsi="仿宋" w:eastAsia="仿宋"/>
          <w:color w:val="000000"/>
        </w:rPr>
      </w:pPr>
      <w:bookmarkStart w:id="60"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0"/>
    </w:p>
    <w:p>
      <w:pPr>
        <w:pStyle w:val="4"/>
        <w:rPr>
          <w:rFonts w:ascii="仿宋" w:hAnsi="仿宋" w:eastAsia="仿宋"/>
          <w:color w:val="000000"/>
        </w:rPr>
      </w:pPr>
      <w:bookmarkStart w:id="61"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61"/>
    </w:p>
    <w:p>
      <w:pPr>
        <w:pStyle w:val="4"/>
        <w:rPr>
          <w:rFonts w:ascii="仿宋" w:hAnsi="仿宋" w:eastAsia="仿宋"/>
          <w:color w:val="000000"/>
        </w:rPr>
      </w:pPr>
      <w:bookmarkStart w:id="62"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62"/>
    </w:p>
    <w:p>
      <w:pPr>
        <w:pStyle w:val="4"/>
        <w:rPr>
          <w:rStyle w:val="26"/>
          <w:rFonts w:hint="eastAsia" w:ascii="仿宋" w:hAnsi="仿宋" w:eastAsia="仿宋"/>
          <w:b w:val="0"/>
          <w:bCs w:val="0"/>
        </w:rPr>
      </w:pPr>
      <w:bookmarkStart w:id="63"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w:t>
      </w:r>
      <w:r>
        <w:rPr>
          <w:rStyle w:val="26"/>
          <w:rFonts w:hint="eastAsia" w:ascii="仿宋" w:hAnsi="仿宋" w:eastAsia="仿宋"/>
          <w:b w:val="0"/>
          <w:bCs w:val="0"/>
          <w:lang w:eastAsia="zh-CN"/>
        </w:rPr>
        <w:t>财政拨款收入</w:t>
      </w:r>
      <w:r>
        <w:rPr>
          <w:rStyle w:val="26"/>
          <w:rFonts w:hint="eastAsia" w:ascii="仿宋" w:hAnsi="仿宋" w:eastAsia="仿宋"/>
          <w:b w:val="0"/>
          <w:bCs w:val="0"/>
        </w:rPr>
        <w:t>支出决算表</w:t>
      </w:r>
      <w:bookmarkEnd w:id="63"/>
    </w:p>
    <w:p>
      <w:pPr>
        <w:rPr>
          <w:rFonts w:hint="eastAsia" w:eastAsia="仿宋"/>
          <w:lang w:eastAsia="zh-CN"/>
        </w:rPr>
      </w:pPr>
      <w:r>
        <w:rPr>
          <w:rStyle w:val="26"/>
          <w:rFonts w:hint="eastAsia" w:ascii="仿宋" w:hAnsi="仿宋" w:eastAsia="仿宋"/>
          <w:b w:val="0"/>
          <w:bCs w:val="0"/>
          <w:lang w:eastAsia="zh-CN"/>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4D797F"/>
    <w:multiLevelType w:val="singleLevel"/>
    <w:tmpl w:val="C64D797F"/>
    <w:lvl w:ilvl="0" w:tentative="0">
      <w:start w:val="1"/>
      <w:numFmt w:val="chineseCounting"/>
      <w:suff w:val="nothing"/>
      <w:lvlText w:val="%1、"/>
      <w:lvlJc w:val="left"/>
      <w:rPr>
        <w:rFonts w:hint="eastAsia"/>
      </w:rPr>
    </w:lvl>
  </w:abstractNum>
  <w:abstractNum w:abstractNumId="1">
    <w:nsid w:val="CE35DEB7"/>
    <w:multiLevelType w:val="singleLevel"/>
    <w:tmpl w:val="CE35DEB7"/>
    <w:lvl w:ilvl="0" w:tentative="0">
      <w:start w:val="7"/>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4">
    <w:nsid w:val="0A5DC8B2"/>
    <w:multiLevelType w:val="singleLevel"/>
    <w:tmpl w:val="0A5DC8B2"/>
    <w:lvl w:ilvl="0" w:tentative="0">
      <w:start w:val="1"/>
      <w:numFmt w:val="decimal"/>
      <w:suff w:val="nothing"/>
      <w:lvlText w:val="%1、"/>
      <w:lvlJc w:val="left"/>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60F84E20"/>
    <w:multiLevelType w:val="singleLevel"/>
    <w:tmpl w:val="60F84E20"/>
    <w:lvl w:ilvl="0" w:tentative="0">
      <w:start w:val="3"/>
      <w:numFmt w:val="chineseCounting"/>
      <w:lvlText w:val="%1."/>
      <w:lvlJc w:val="left"/>
      <w:pPr>
        <w:tabs>
          <w:tab w:val="left" w:pos="312"/>
        </w:tabs>
      </w:pPr>
      <w:rPr>
        <w:rFonts w:hint="eastAsia"/>
      </w:rPr>
    </w:lvl>
  </w:abstractNum>
  <w:num w:numId="1">
    <w:abstractNumId w:val="0"/>
  </w:num>
  <w:num w:numId="2">
    <w:abstractNumId w:val="4"/>
  </w:num>
  <w:num w:numId="3">
    <w:abstractNumId w:val="6"/>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1ZmY2MDRlMDlhYzBjYmU5Yjg5YTMyMGNlMzZlZD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427B8"/>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1ADC"/>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12109"/>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422638"/>
    <w:rsid w:val="017978E4"/>
    <w:rsid w:val="01D01F84"/>
    <w:rsid w:val="021D396D"/>
    <w:rsid w:val="02C30536"/>
    <w:rsid w:val="02FA44F5"/>
    <w:rsid w:val="03A202E1"/>
    <w:rsid w:val="042B2407"/>
    <w:rsid w:val="0743556F"/>
    <w:rsid w:val="088124C8"/>
    <w:rsid w:val="08AB4A38"/>
    <w:rsid w:val="0A2032A3"/>
    <w:rsid w:val="0A671499"/>
    <w:rsid w:val="0A70175D"/>
    <w:rsid w:val="0C7F5692"/>
    <w:rsid w:val="0CC47822"/>
    <w:rsid w:val="0DFA5402"/>
    <w:rsid w:val="0E116BEA"/>
    <w:rsid w:val="0E8D2992"/>
    <w:rsid w:val="10C055FF"/>
    <w:rsid w:val="118107EC"/>
    <w:rsid w:val="13D14320"/>
    <w:rsid w:val="146466E4"/>
    <w:rsid w:val="14893670"/>
    <w:rsid w:val="14942508"/>
    <w:rsid w:val="150708A8"/>
    <w:rsid w:val="16BB723D"/>
    <w:rsid w:val="18015F3F"/>
    <w:rsid w:val="1A343D3D"/>
    <w:rsid w:val="1AC36F1C"/>
    <w:rsid w:val="1AEC4CFD"/>
    <w:rsid w:val="1BE8440E"/>
    <w:rsid w:val="1D155CEE"/>
    <w:rsid w:val="1D213AA9"/>
    <w:rsid w:val="1F596831"/>
    <w:rsid w:val="20F57F95"/>
    <w:rsid w:val="215A337A"/>
    <w:rsid w:val="230554EF"/>
    <w:rsid w:val="23344633"/>
    <w:rsid w:val="240371BF"/>
    <w:rsid w:val="25FB1D29"/>
    <w:rsid w:val="27547F1A"/>
    <w:rsid w:val="27842671"/>
    <w:rsid w:val="291977E2"/>
    <w:rsid w:val="29EE7110"/>
    <w:rsid w:val="29FD04D3"/>
    <w:rsid w:val="2ABE7A3E"/>
    <w:rsid w:val="2B094344"/>
    <w:rsid w:val="2B0D2357"/>
    <w:rsid w:val="2F306BC4"/>
    <w:rsid w:val="318F27FC"/>
    <w:rsid w:val="3195460F"/>
    <w:rsid w:val="319F7F4E"/>
    <w:rsid w:val="31A030BF"/>
    <w:rsid w:val="31BD6EC1"/>
    <w:rsid w:val="329803D2"/>
    <w:rsid w:val="33126056"/>
    <w:rsid w:val="34467A92"/>
    <w:rsid w:val="354C599B"/>
    <w:rsid w:val="359536DD"/>
    <w:rsid w:val="36171AF2"/>
    <w:rsid w:val="3A604450"/>
    <w:rsid w:val="3B48774E"/>
    <w:rsid w:val="3C0C0783"/>
    <w:rsid w:val="3E395409"/>
    <w:rsid w:val="421D7739"/>
    <w:rsid w:val="427526F2"/>
    <w:rsid w:val="42865A86"/>
    <w:rsid w:val="431F237C"/>
    <w:rsid w:val="43A12071"/>
    <w:rsid w:val="46A17370"/>
    <w:rsid w:val="47351644"/>
    <w:rsid w:val="47416632"/>
    <w:rsid w:val="48A274EB"/>
    <w:rsid w:val="4935678C"/>
    <w:rsid w:val="493C27E9"/>
    <w:rsid w:val="496F39ED"/>
    <w:rsid w:val="49FF41D3"/>
    <w:rsid w:val="4AD3122E"/>
    <w:rsid w:val="4BE068DB"/>
    <w:rsid w:val="4BF6002B"/>
    <w:rsid w:val="4E0E53F9"/>
    <w:rsid w:val="4ECE2238"/>
    <w:rsid w:val="51364109"/>
    <w:rsid w:val="538E09A3"/>
    <w:rsid w:val="560D426E"/>
    <w:rsid w:val="5832398B"/>
    <w:rsid w:val="58681B8B"/>
    <w:rsid w:val="5A0031D0"/>
    <w:rsid w:val="5A064BFD"/>
    <w:rsid w:val="5A68668B"/>
    <w:rsid w:val="5B9F031B"/>
    <w:rsid w:val="603D6CCF"/>
    <w:rsid w:val="621D1641"/>
    <w:rsid w:val="62F70FD8"/>
    <w:rsid w:val="64CA39A1"/>
    <w:rsid w:val="64FA3CFA"/>
    <w:rsid w:val="662A7AB4"/>
    <w:rsid w:val="66687ED4"/>
    <w:rsid w:val="678B644F"/>
    <w:rsid w:val="680F6C21"/>
    <w:rsid w:val="68C04051"/>
    <w:rsid w:val="69B4144F"/>
    <w:rsid w:val="6AE754EB"/>
    <w:rsid w:val="6B0E5BD4"/>
    <w:rsid w:val="6B6060BA"/>
    <w:rsid w:val="6C4A05C8"/>
    <w:rsid w:val="6D565367"/>
    <w:rsid w:val="6DAF7F7F"/>
    <w:rsid w:val="702226CB"/>
    <w:rsid w:val="707F3FBE"/>
    <w:rsid w:val="710F38F9"/>
    <w:rsid w:val="716D200F"/>
    <w:rsid w:val="719178CF"/>
    <w:rsid w:val="72734D90"/>
    <w:rsid w:val="72CA621A"/>
    <w:rsid w:val="75CC744C"/>
    <w:rsid w:val="775F5128"/>
    <w:rsid w:val="799A5CD3"/>
    <w:rsid w:val="7C90340B"/>
    <w:rsid w:val="7CA22F0B"/>
    <w:rsid w:val="7CEE3BC7"/>
    <w:rsid w:val="7DA15862"/>
    <w:rsid w:val="7DA16088"/>
    <w:rsid w:val="7E720FC0"/>
    <w:rsid w:val="7E970382"/>
    <w:rsid w:val="7F3A59C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文样式"/>
    <w:basedOn w:val="1"/>
    <w:qFormat/>
    <w:uiPriority w:val="0"/>
    <w:pPr>
      <w:adjustRightInd w:val="0"/>
      <w:snapToGrid w:val="0"/>
      <w:spacing w:line="520" w:lineRule="exact"/>
      <w:ind w:firstLine="562"/>
    </w:pPr>
    <w:rPr>
      <w:rFonts w:ascii="Times New Roman"/>
      <w:color w:val="000000"/>
      <w:sz w:val="28"/>
      <w:szCs w:val="28"/>
    </w:r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800" b="1">
                <a:solidFill>
                  <a:sysClr val="windowText" lastClr="000000"/>
                </a:solidFill>
                <a:latin typeface="宋体" panose="02010600030101010101" charset="-122"/>
                <a:ea typeface="宋体" panose="02010600030101010101" charset="-122"/>
              </a:rPr>
              <a:t>收、支决算总计变动图</a:t>
            </a:r>
            <a:endParaRPr sz="1800" b="1">
              <a:solidFill>
                <a:sysClr val="windowText" lastClr="000000"/>
              </a:solidFill>
              <a:latin typeface="宋体" panose="02010600030101010101" charset="-122"/>
              <a:ea typeface="宋体" panose="0201060003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p>
        </c:rich>
      </c:tx>
      <c:layout/>
      <c:overlay val="0"/>
      <c:spPr>
        <a:noFill/>
        <a:ln>
          <a:noFill/>
        </a:ln>
        <a:effectLst/>
      </c:spPr>
    </c:title>
    <c:autoTitleDeleted val="0"/>
    <c:plotArea>
      <c:layout/>
      <c:barChart>
        <c:barDir val="col"/>
        <c:grouping val="clustered"/>
        <c:varyColors val="0"/>
        <c:ser>
          <c:idx val="1"/>
          <c:order val="0"/>
          <c:tx>
            <c:strRef>
              <c:f>Sheet1!$A$6</c:f>
              <c:strCache>
                <c:ptCount val="1"/>
                <c:pt idx="0">
                  <c:v>2019年度</c:v>
                </c:pt>
              </c:strCache>
            </c:strRef>
          </c:tx>
          <c:spPr>
            <a:gradFill>
              <a:gsLst>
                <a:gs pos="0">
                  <a:srgbClr val="9EE256"/>
                </a:gs>
                <a:gs pos="100000">
                  <a:srgbClr val="52762D"/>
                </a:gs>
              </a:gsLst>
              <a:lin ang="5400000" scaled="0"/>
            </a:gra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7514.56</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Sheet1!$B$6</c:f>
              <c:numCache>
                <c:formatCode>General</c:formatCode>
                <c:ptCount val="1"/>
                <c:pt idx="0">
                  <c:v>7356.86</c:v>
                </c:pt>
              </c:numCache>
            </c:numRef>
          </c:val>
        </c:ser>
        <c:ser>
          <c:idx val="0"/>
          <c:order val="1"/>
          <c:tx>
            <c:strRef>
              <c:f>Sheet1!$A$7</c:f>
              <c:strCache>
                <c:ptCount val="1"/>
                <c:pt idx="0">
                  <c:v>2020年度</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29857.</a:t>
                    </a:r>
                    <a:r>
                      <a:rPr lang="en-US" altLang="zh-CN"/>
                      <a:t>79</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Sheet1!$B$7</c:f>
              <c:numCache>
                <c:formatCode>General</c:formatCode>
                <c:ptCount val="1"/>
                <c:pt idx="0">
                  <c:v>29857.8</c:v>
                </c:pt>
              </c:numCache>
            </c:numRef>
          </c:val>
        </c:ser>
        <c:dLbls>
          <c:showLegendKey val="0"/>
          <c:showVal val="1"/>
          <c:showCatName val="0"/>
          <c:showSerName val="0"/>
          <c:showPercent val="0"/>
          <c:showBubbleSize val="0"/>
        </c:dLbls>
        <c:gapWidth val="75"/>
        <c:overlap val="-25"/>
        <c:axId val="975254080"/>
        <c:axId val="290966340"/>
      </c:barChart>
      <c:catAx>
        <c:axId val="975254080"/>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0966340"/>
        <c:crosses val="autoZero"/>
        <c:auto val="1"/>
        <c:lblAlgn val="ctr"/>
        <c:lblOffset val="100"/>
        <c:noMultiLvlLbl val="0"/>
      </c:catAx>
      <c:valAx>
        <c:axId val="2909663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5254080"/>
        <c:crosses val="autoZero"/>
        <c:crossBetween val="between"/>
      </c:valAx>
      <c:spPr>
        <a:noFill/>
        <a:ln>
          <a:noFill/>
        </a:ln>
        <a:effectLst/>
      </c:spPr>
    </c:plotArea>
    <c:legend>
      <c:legendPos val="b"/>
      <c:layout>
        <c:manualLayout>
          <c:xMode val="edge"/>
          <c:yMode val="edge"/>
          <c:x val="0.3943125"/>
          <c:y val="0.900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800" b="1"/>
              <a:t>收入决算结构图</a:t>
            </a:r>
            <a:endParaRPr sz="1800" b="1"/>
          </a:p>
        </c:rich>
      </c:tx>
      <c:layout>
        <c:manualLayout>
          <c:xMode val="edge"/>
          <c:yMode val="edge"/>
          <c:x val="0.37375"/>
          <c:y val="0.02"/>
        </c:manualLayout>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2"/>
              </a:solidFill>
              <a:ln w="19050">
                <a:solidFill>
                  <a:schemeClr val="lt1"/>
                </a:solidFill>
              </a:ln>
              <a:effectLst/>
            </c:spPr>
          </c:dPt>
          <c:dPt>
            <c:idx val="1"/>
            <c:bubble3D val="0"/>
            <c:spPr>
              <a:solidFill>
                <a:schemeClr val="accent4"/>
              </a:solidFill>
              <a:ln w="19050">
                <a:solidFill>
                  <a:schemeClr val="lt1"/>
                </a:solidFill>
              </a:ln>
              <a:effectLst/>
            </c:spPr>
          </c:dPt>
          <c:dPt>
            <c:idx val="2"/>
            <c:bubble3D val="0"/>
            <c:spPr>
              <a:solidFill>
                <a:schemeClr val="accent6"/>
              </a:solidFill>
              <a:ln w="19050">
                <a:solidFill>
                  <a:schemeClr val="lt1"/>
                </a:solidFill>
              </a:ln>
              <a:effectLst/>
            </c:spPr>
          </c:dPt>
          <c:dLbls>
            <c:dLbl>
              <c:idx val="0"/>
              <c:layout>
                <c:manualLayout>
                  <c:x val="-0.0933492768289565"/>
                  <c:y val="0.17520634806770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sz="1050" b="1"/>
                      <a:t>18</a:t>
                    </a:r>
                    <a:r>
                      <a:rPr lang="en-US" altLang="zh-CN" sz="1050" b="1"/>
                      <a:t>.32</a:t>
                    </a:r>
                    <a:r>
                      <a:rPr sz="1050" b="1"/>
                      <a:t>%</a:t>
                    </a:r>
                    <a:endParaRPr sz="1050" b="1"/>
                  </a:p>
                  <a:p>
                    <a:pPr defTabSz="914400">
                      <a:defRPr lang="zh-CN" sz="900" b="0" i="0" u="none" strike="noStrike" kern="1200" baseline="0">
                        <a:solidFill>
                          <a:schemeClr val="tx1">
                            <a:lumMod val="75000"/>
                            <a:lumOff val="25000"/>
                          </a:schemeClr>
                        </a:solidFill>
                        <a:latin typeface="+mn-lt"/>
                        <a:ea typeface="+mn-ea"/>
                        <a:cs typeface="+mn-cs"/>
                      </a:defRPr>
                    </a:pPr>
                    <a:r>
                      <a:rPr lang="en-US" altLang="zh-CN" sz="1050" b="1"/>
                      <a:t>5469.22</a:t>
                    </a:r>
                    <a:r>
                      <a:rPr altLang="en-US" sz="1050" b="1"/>
                      <a:t>万元</a:t>
                    </a:r>
                    <a:endParaRPr altLang="en-US" sz="1050" b="1"/>
                  </a:p>
                </c:rich>
              </c:tx>
              <c:dLblPos val="bestFit"/>
              <c:showLegendKey val="0"/>
              <c:showVal val="0"/>
              <c:showCatName val="0"/>
              <c:showSerName val="0"/>
              <c:showPercent val="1"/>
              <c:showBubbleSize val="0"/>
              <c:extLst>
                <c:ext xmlns:c15="http://schemas.microsoft.com/office/drawing/2012/chart" uri="{CE6537A1-D6FC-4f65-9D91-7224C49458BB}">
                  <c15:layout>
                    <c:manualLayout>
                      <c:w val="0.203125"/>
                      <c:h val="0.228833333333333"/>
                    </c:manualLayout>
                  </c15:layout>
                </c:ext>
              </c:extLst>
            </c:dLbl>
            <c:dLbl>
              <c:idx val="1"/>
              <c:layout>
                <c:manualLayout>
                  <c:x val="-0.101033409990815"/>
                  <c:y val="0.045556478977976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sz="1050" b="1"/>
                      <a:t>2.97</a:t>
                    </a:r>
                    <a:r>
                      <a:rPr sz="1050" b="1"/>
                      <a:t>%</a:t>
                    </a:r>
                    <a:endParaRPr sz="1050" b="1"/>
                  </a:p>
                </c:rich>
              </c:tx>
              <c:dLblPos val="bestFit"/>
              <c:showLegendKey val="0"/>
              <c:showVal val="0"/>
              <c:showCatName val="0"/>
              <c:showSerName val="0"/>
              <c:showPercent val="1"/>
              <c:showBubbleSize val="0"/>
              <c:extLst>
                <c:ext xmlns:c15="http://schemas.microsoft.com/office/drawing/2012/chart" uri="{CE6537A1-D6FC-4f65-9D91-7224C49458BB}">
                  <c15:layout>
                    <c:manualLayout>
                      <c:w val="0.096875"/>
                      <c:h val="0.0868333333333333"/>
                    </c:manualLayout>
                  </c15:layout>
                </c:ext>
              </c:extLst>
            </c:dLbl>
            <c:dLbl>
              <c:idx val="2"/>
              <c:layout>
                <c:manualLayout>
                  <c:x val="0.0935376015412702"/>
                  <c:y val="-0.31078784502506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sz="1050" b="1"/>
                      <a:t>78.71</a:t>
                    </a:r>
                    <a:r>
                      <a:rPr sz="1050" b="1"/>
                      <a:t>%</a:t>
                    </a:r>
                    <a:endParaRPr sz="1050" b="1"/>
                  </a:p>
                  <a:p>
                    <a:pPr defTabSz="914400">
                      <a:defRPr lang="zh-CN" sz="900" b="0" i="0" u="none" strike="noStrike" kern="1200" baseline="0">
                        <a:solidFill>
                          <a:schemeClr val="tx1">
                            <a:lumMod val="75000"/>
                            <a:lumOff val="25000"/>
                          </a:schemeClr>
                        </a:solidFill>
                        <a:latin typeface="+mn-lt"/>
                        <a:ea typeface="+mn-ea"/>
                        <a:cs typeface="+mn-cs"/>
                      </a:defRPr>
                    </a:pPr>
                    <a:r>
                      <a:rPr lang="en-US" altLang="zh-CN" sz="1050" b="1"/>
                      <a:t>23501.36</a:t>
                    </a:r>
                    <a:r>
                      <a:rPr altLang="en-US" sz="1050" b="1"/>
                      <a:t>万元</a:t>
                    </a:r>
                    <a:endParaRPr altLang="en-US" sz="1050" b="1"/>
                  </a:p>
                </c:rich>
              </c:tx>
              <c:dLblPos val="bestFit"/>
              <c:showLegendKey val="0"/>
              <c:showVal val="0"/>
              <c:showCatName val="0"/>
              <c:showSerName val="0"/>
              <c:showPercent val="1"/>
              <c:showBubbleSize val="0"/>
              <c:extLst>
                <c:ext xmlns:c15="http://schemas.microsoft.com/office/drawing/2012/chart" uri="{CE6537A1-D6FC-4f65-9D91-7224C49458BB}">
                  <c15:layout>
                    <c:manualLayout>
                      <c:w val="0.204625"/>
                      <c:h val="0.182833333333333"/>
                    </c:manualLayout>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一般公共预算财政补款收入</c:v>
                </c:pt>
                <c:pt idx="1">
                  <c:v>经营收入</c:v>
                </c:pt>
                <c:pt idx="2">
                  <c:v>其他收入</c:v>
                </c:pt>
              </c:strCache>
            </c:strRef>
          </c:cat>
          <c:val>
            <c:numRef>
              <c:f>Sheet1!$B$2:$B$4</c:f>
              <c:numCache>
                <c:formatCode>General</c:formatCode>
                <c:ptCount val="3"/>
                <c:pt idx="0">
                  <c:v>5469.22</c:v>
                </c:pt>
                <c:pt idx="1">
                  <c:v>887.22</c:v>
                </c:pt>
                <c:pt idx="2">
                  <c:v>23501.36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800" b="1">
                <a:solidFill>
                  <a:sysClr val="windowText" lastClr="000000"/>
                </a:solidFill>
              </a:rPr>
              <a:t>支出决算结构图</a:t>
            </a:r>
            <a:endParaRPr sz="1800" b="1">
              <a:solidFill>
                <a:sysClr val="windowText" lastClr="000000"/>
              </a:solidFill>
            </a:endParaRPr>
          </a:p>
        </c:rich>
      </c:tx>
      <c:layout>
        <c:manualLayout>
          <c:xMode val="edge"/>
          <c:yMode val="edge"/>
          <c:x val="0.3255"/>
          <c:y val="0.0266666666666667"/>
        </c:manualLayout>
      </c:layout>
      <c:overlay val="0"/>
      <c:spPr>
        <a:noFill/>
        <a:ln>
          <a:noFill/>
        </a:ln>
        <a:effectLst/>
      </c:spPr>
    </c:title>
    <c:autoTitleDeleted val="0"/>
    <c:plotArea>
      <c:layout>
        <c:manualLayout>
          <c:layoutTarget val="inner"/>
          <c:xMode val="edge"/>
          <c:yMode val="edge"/>
          <c:x val="0.2190625"/>
          <c:y val="0.143"/>
          <c:w val="0.558625"/>
          <c:h val="0.744833333333333"/>
        </c:manualLayout>
      </c:layout>
      <c:pieChart>
        <c:varyColors val="1"/>
        <c:ser>
          <c:idx val="0"/>
          <c:order val="0"/>
          <c:tx>
            <c:strRef>
              <c:f>Sheet1!$B$1</c:f>
              <c:strCache>
                <c:ptCount val="1"/>
                <c:pt idx="0">
                  <c:v>支出</c:v>
                </c:pt>
              </c:strCache>
            </c:strRef>
          </c:tx>
          <c:spPr/>
          <c:explosion val="0"/>
          <c:dPt>
            <c:idx val="0"/>
            <c:bubble3D val="0"/>
            <c:spPr>
              <a:solidFill>
                <a:schemeClr val="accent2"/>
              </a:solidFill>
              <a:ln w="19050">
                <a:solidFill>
                  <a:schemeClr val="lt1"/>
                </a:solidFill>
              </a:ln>
              <a:effectLst/>
            </c:spPr>
          </c:dPt>
          <c:dPt>
            <c:idx val="1"/>
            <c:bubble3D val="0"/>
            <c:spPr>
              <a:solidFill>
                <a:schemeClr val="accent4"/>
              </a:solidFill>
              <a:ln w="19050">
                <a:solidFill>
                  <a:schemeClr val="lt1"/>
                </a:solidFill>
              </a:ln>
              <a:effectLst/>
            </c:spPr>
          </c:dPt>
          <c:dPt>
            <c:idx val="2"/>
            <c:bubble3D val="0"/>
            <c:spPr>
              <a:solidFill>
                <a:schemeClr val="accent6"/>
              </a:solidFill>
              <a:ln w="19050">
                <a:solidFill>
                  <a:schemeClr val="lt1"/>
                </a:solidFill>
              </a:ln>
              <a:effectLst/>
            </c:spPr>
          </c:dPt>
          <c:dLbls>
            <c:dLbl>
              <c:idx val="0"/>
              <c:layout>
                <c:manualLayout>
                  <c:x val="-0.217454092711059"/>
                  <c:y val="0.055478753569079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sz="1050" b="1">
                        <a:solidFill>
                          <a:sysClr val="windowText" lastClr="000000"/>
                        </a:solidFill>
                      </a:rPr>
                      <a:t>6200.42万元</a:t>
                    </a:r>
                    <a:endParaRPr sz="1050" b="1">
                      <a:solidFill>
                        <a:sysClr val="windowText" lastClr="000000"/>
                      </a:solidFill>
                    </a:endParaRPr>
                  </a:p>
                  <a:p>
                    <a:pPr defTabSz="914400">
                      <a:defRPr lang="zh-CN" sz="900" b="0" i="0" u="none" strike="noStrike" kern="1200" baseline="0">
                        <a:solidFill>
                          <a:schemeClr val="tx1">
                            <a:lumMod val="75000"/>
                            <a:lumOff val="25000"/>
                          </a:schemeClr>
                        </a:solidFill>
                        <a:latin typeface="+mn-lt"/>
                        <a:ea typeface="+mn-ea"/>
                        <a:cs typeface="+mn-cs"/>
                      </a:defRPr>
                    </a:pPr>
                    <a:r>
                      <a:rPr lang="en-US" altLang="zh-CN" sz="1050" b="1">
                        <a:solidFill>
                          <a:sysClr val="windowText" lastClr="000000"/>
                        </a:solidFill>
                      </a:rPr>
                      <a:t>41.46%</a:t>
                    </a:r>
                    <a:endParaRPr lang="en-US" altLang="zh-CN" sz="1050" b="1">
                      <a:solidFill>
                        <a:sysClr val="windowText" lastClr="000000"/>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manualLayout>
                      <c:w val="0.24625"/>
                      <c:h val="0.165833333333333"/>
                    </c:manualLayout>
                  </c15:layout>
                </c:ext>
              </c:extLst>
            </c:dLbl>
            <c:dLbl>
              <c:idx val="1"/>
              <c:layout>
                <c:manualLayout>
                  <c:x val="0.217273534628581"/>
                  <c:y val="-0.1943120654991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sz="1050" b="1">
                        <a:solidFill>
                          <a:sysClr val="windowText" lastClr="000000"/>
                        </a:solidFill>
                      </a:rPr>
                      <a:t>7980.89万元</a:t>
                    </a:r>
                    <a:endParaRPr sz="1050" b="1">
                      <a:solidFill>
                        <a:sysClr val="windowText" lastClr="000000"/>
                      </a:solidFill>
                    </a:endParaRPr>
                  </a:p>
                  <a:p>
                    <a:pPr defTabSz="914400">
                      <a:defRPr lang="zh-CN" sz="900" b="0" i="0" u="none" strike="noStrike" kern="1200" baseline="0">
                        <a:solidFill>
                          <a:schemeClr val="tx1">
                            <a:lumMod val="75000"/>
                            <a:lumOff val="25000"/>
                          </a:schemeClr>
                        </a:solidFill>
                        <a:latin typeface="+mn-lt"/>
                        <a:ea typeface="+mn-ea"/>
                        <a:cs typeface="+mn-cs"/>
                      </a:defRPr>
                    </a:pPr>
                    <a:r>
                      <a:rPr lang="en-US" altLang="zh-CN" sz="1050" b="1">
                        <a:solidFill>
                          <a:sysClr val="windowText" lastClr="000000"/>
                        </a:solidFill>
                      </a:rPr>
                      <a:t>53.37%</a:t>
                    </a:r>
                    <a:endParaRPr lang="en-US" altLang="zh-CN" sz="1050" b="1">
                      <a:solidFill>
                        <a:sysClr val="windowText" lastClr="000000"/>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manualLayout>
                      <c:w val="0.2265"/>
                      <c:h val="0.133166666666667"/>
                    </c:manualLayout>
                  </c15:layout>
                </c:ext>
              </c:extLst>
            </c:dLbl>
            <c:dLbl>
              <c:idx val="2"/>
              <c:layout>
                <c:manualLayout>
                  <c:x val="0.0172461750343929"/>
                  <c:y val="0.091655579132384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sz="1050" b="1">
                        <a:solidFill>
                          <a:sysClr val="windowText" lastClr="000000"/>
                        </a:solidFill>
                      </a:rPr>
                      <a:t>5.17%</a:t>
                    </a:r>
                    <a:endParaRPr lang="en-US" altLang="zh-CN" sz="1050" b="1">
                      <a:solidFill>
                        <a:sysClr val="windowText" lastClr="000000"/>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基本支出</c:v>
                </c:pt>
                <c:pt idx="1">
                  <c:v>项目支出</c:v>
                </c:pt>
                <c:pt idx="2">
                  <c:v>经营支出</c:v>
                </c:pt>
              </c:strCache>
            </c:strRef>
          </c:cat>
          <c:val>
            <c:numRef>
              <c:f>Sheet1!$B$2:$B$4</c:f>
              <c:numCache>
                <c:formatCode>0.00_ </c:formatCode>
                <c:ptCount val="3"/>
                <c:pt idx="0">
                  <c:v>6200.42</c:v>
                </c:pt>
                <c:pt idx="1">
                  <c:v>7980.89</c:v>
                </c:pt>
                <c:pt idx="2">
                  <c:v>772.99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800" b="1">
                <a:solidFill>
                  <a:sysClr val="windowText" lastClr="000000"/>
                </a:solidFill>
              </a:rPr>
              <a:t>财政拨款收、支决算总计变动情况表</a:t>
            </a:r>
            <a:endParaRPr sz="1800" b="1">
              <a:solidFill>
                <a:sysClr val="windowText" lastClr="000000"/>
              </a:solidFill>
            </a:endParaRPr>
          </a:p>
        </c:rich>
      </c:tx>
      <c:layout/>
      <c:overlay val="0"/>
      <c:spPr>
        <a:noFill/>
        <a:ln>
          <a:noFill/>
        </a:ln>
        <a:effectLst/>
      </c:spPr>
    </c:title>
    <c:autoTitleDeleted val="0"/>
    <c:plotArea>
      <c:layout>
        <c:manualLayout>
          <c:layoutTarget val="inner"/>
          <c:xMode val="edge"/>
          <c:yMode val="edge"/>
          <c:x val="0.222880215343203"/>
          <c:y val="0.132561694693164"/>
          <c:w val="0.612308821730087"/>
          <c:h val="0.841996069010701"/>
        </c:manualLayout>
      </c:layout>
      <c:barChart>
        <c:barDir val="col"/>
        <c:grouping val="clustered"/>
        <c:varyColors val="0"/>
        <c:ser>
          <c:idx val="0"/>
          <c:order val="0"/>
          <c:tx>
            <c:strRef>
              <c:f>Sheet1!$B$1</c:f>
              <c:strCache>
                <c:ptCount val="1"/>
                <c:pt idx="0">
                  <c:v>2019年度</c:v>
                </c:pt>
              </c:strCache>
            </c:strRef>
          </c:tx>
          <c:spPr>
            <a:solidFill>
              <a:schemeClr val="accent1"/>
            </a:solidFill>
            <a:ln>
              <a:noFill/>
            </a:ln>
            <a:effectLst/>
          </c:spPr>
          <c:invertIfNegative val="0"/>
          <c:dLbls>
            <c:dLbl>
              <c:idx val="0"/>
              <c:layout>
                <c:manualLayout>
                  <c:x val="-0.001625"/>
                  <c:y val="-0.569732078204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sz="1050" b="1">
                        <a:solidFill>
                          <a:sysClr val="windowText" lastClr="000000"/>
                        </a:solidFill>
                      </a:rPr>
                      <a:t>3928.79</a:t>
                    </a:r>
                    <a:endParaRPr sz="1050" b="1">
                      <a:solidFill>
                        <a:sysClr val="windowText" lastClr="000000"/>
                      </a:solidFill>
                    </a:endParaRPr>
                  </a:p>
                </c:rich>
              </c:tx>
              <c:dLblPos val="inBase"/>
              <c:showLegendKey val="0"/>
              <c:showVal val="1"/>
              <c:showCatName val="0"/>
              <c:showSerName val="0"/>
              <c:showPercent val="0"/>
              <c:showBubbleSize val="0"/>
              <c:extLst>
                <c:ext xmlns:c15="http://schemas.microsoft.com/office/drawing/2012/chart" uri="{CE6537A1-D6FC-4f65-9D91-7224C49458BB}">
                  <c15:layout>
                    <c:manualLayout>
                      <c:w val="0.1385"/>
                      <c:h val="0.0805213613323679"/>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Sheet1!$B$2</c:f>
              <c:numCache>
                <c:formatCode>General</c:formatCode>
                <c:ptCount val="1"/>
                <c:pt idx="0">
                  <c:v>3928.79</c:v>
                </c:pt>
              </c:numCache>
            </c:numRef>
          </c:val>
        </c:ser>
        <c:ser>
          <c:idx val="1"/>
          <c:order val="1"/>
          <c:tx>
            <c:strRef>
              <c:f>Sheet1!$C$1</c:f>
              <c:strCache>
                <c:ptCount val="1"/>
                <c:pt idx="0">
                  <c:v>2020年度</c:v>
                </c:pt>
              </c:strCache>
            </c:strRef>
          </c:tx>
          <c:spPr>
            <a:solidFill>
              <a:schemeClr val="accent2"/>
            </a:solidFill>
            <a:ln>
              <a:noFill/>
            </a:ln>
            <a:effectLst/>
          </c:spPr>
          <c:invertIfNegative val="0"/>
          <c:dLbls>
            <c:dLbl>
              <c:idx val="0"/>
              <c:layout>
                <c:manualLayout>
                  <c:x val="0"/>
                  <c:y val="-0.78015930485155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sz="1050" b="1">
                        <a:solidFill>
                          <a:sysClr val="windowText" lastClr="000000"/>
                        </a:solidFill>
                      </a:rPr>
                      <a:t>5469.22</a:t>
                    </a:r>
                    <a:endParaRPr sz="1050" b="1">
                      <a:solidFill>
                        <a:sysClr val="windowText" lastClr="000000"/>
                      </a:solidFill>
                    </a:endParaRPr>
                  </a:p>
                </c:rich>
              </c:tx>
              <c:dLblPos val="inBase"/>
              <c:showLegendKey val="0"/>
              <c:showVal val="1"/>
              <c:showCatName val="0"/>
              <c:showSerName val="0"/>
              <c:showPercent val="0"/>
              <c:showBubbleSize val="0"/>
              <c:extLst>
                <c:ext xmlns:c15="http://schemas.microsoft.com/office/drawing/2012/chart" uri="{CE6537A1-D6FC-4f65-9D91-7224C49458BB}">
                  <c15:layout>
                    <c:manualLayout>
                      <c:w val="0.1495"/>
                      <c:h val="0.0857349746560463"/>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Sheet1!$C$2</c:f>
              <c:numCache>
                <c:formatCode>General</c:formatCode>
                <c:ptCount val="1"/>
                <c:pt idx="0">
                  <c:v>5469.22</c:v>
                </c:pt>
              </c:numCache>
            </c:numRef>
          </c:val>
        </c:ser>
        <c:dLbls>
          <c:showLegendKey val="0"/>
          <c:showVal val="1"/>
          <c:showCatName val="0"/>
          <c:showSerName val="0"/>
          <c:showPercent val="0"/>
          <c:showBubbleSize val="0"/>
        </c:dLbls>
        <c:gapWidth val="150"/>
        <c:overlap val="0"/>
        <c:axId val="73394059"/>
        <c:axId val="938103451"/>
      </c:barChart>
      <c:catAx>
        <c:axId val="73394059"/>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103451"/>
        <c:crosses val="autoZero"/>
        <c:auto val="1"/>
        <c:lblAlgn val="ctr"/>
        <c:lblOffset val="100"/>
        <c:noMultiLvlLbl val="0"/>
      </c:catAx>
      <c:valAx>
        <c:axId val="93810345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金额：万元</a:t>
                </a:r>
              </a:p>
            </c:rich>
          </c:tx>
          <c:layout>
            <c:manualLayout>
              <c:xMode val="edge"/>
              <c:yMode val="edge"/>
              <c:x val="0.01375"/>
              <c:y val="0.109618033147386"/>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394059"/>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600" b="1">
                <a:solidFill>
                  <a:sysClr val="windowText" lastClr="000000"/>
                </a:solidFill>
              </a:rPr>
              <a:t>一般公共预算财政拨款支出决算变动情况</a:t>
            </a:r>
            <a:endParaRPr sz="1600" b="1">
              <a:solidFill>
                <a:sysClr val="windowText" lastClr="000000"/>
              </a:solidFill>
            </a:endParaRPr>
          </a:p>
        </c:rich>
      </c:tx>
      <c:layout/>
      <c:overlay val="0"/>
      <c:spPr>
        <a:noFill/>
        <a:ln>
          <a:noFill/>
        </a:ln>
        <a:effectLst/>
      </c:spPr>
    </c:title>
    <c:autoTitleDeleted val="0"/>
    <c:plotArea>
      <c:layout>
        <c:manualLayout>
          <c:layoutTarget val="inner"/>
          <c:xMode val="edge"/>
          <c:yMode val="edge"/>
          <c:x val="0.198575"/>
          <c:y val="0.208333333333333"/>
          <c:w val="0.626425"/>
          <c:h val="0.709066666666667"/>
        </c:manualLayout>
      </c:layout>
      <c:barChart>
        <c:barDir val="col"/>
        <c:grouping val="clustered"/>
        <c:varyColors val="0"/>
        <c:ser>
          <c:idx val="0"/>
          <c:order val="0"/>
          <c:tx>
            <c:strRef>
              <c:f>Sheet1!$A$2</c:f>
              <c:strCache>
                <c:ptCount val="1"/>
                <c:pt idx="0">
                  <c:v>2019年度</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sz="1050" b="1">
                        <a:solidFill>
                          <a:sysClr val="windowText" lastClr="000000"/>
                        </a:solidFill>
                      </a:rPr>
                      <a:t>3928.78</a:t>
                    </a:r>
                    <a:endParaRPr sz="1050" b="1">
                      <a:solidFill>
                        <a:sysClr val="windowText" lastClr="000000"/>
                      </a:solidFill>
                    </a:endParaRP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支出</c:v>
                </c:pt>
              </c:strCache>
            </c:strRef>
          </c:cat>
          <c:val>
            <c:numRef>
              <c:f>Sheet1!$B$2</c:f>
              <c:numCache>
                <c:formatCode>General</c:formatCode>
                <c:ptCount val="1"/>
                <c:pt idx="0">
                  <c:v>3928.78</c:v>
                </c:pt>
              </c:numCache>
            </c:numRef>
          </c:val>
        </c:ser>
        <c:ser>
          <c:idx val="1"/>
          <c:order val="1"/>
          <c:tx>
            <c:strRef>
              <c:f>Sheet1!$A$3</c:f>
              <c:strCache>
                <c:ptCount val="1"/>
                <c:pt idx="0">
                  <c:v>2020年度</c:v>
                </c:pt>
              </c:strCache>
            </c:strRef>
          </c:tx>
          <c:spPr>
            <a:solidFill>
              <a:schemeClr val="accent2"/>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sz="1050" b="1">
                        <a:solidFill>
                          <a:sysClr val="windowText" lastClr="000000"/>
                        </a:solidFill>
                      </a:rPr>
                      <a:t>5469.2</a:t>
                    </a:r>
                    <a:r>
                      <a:rPr lang="en-US" altLang="zh-CN" sz="1050" b="1">
                        <a:solidFill>
                          <a:sysClr val="windowText" lastClr="000000"/>
                        </a:solidFill>
                      </a:rPr>
                      <a:t>2</a:t>
                    </a:r>
                    <a:endParaRPr lang="en-US" altLang="zh-CN" sz="1050" b="1">
                      <a:solidFill>
                        <a:sysClr val="windowText" lastClr="000000"/>
                      </a:solidFill>
                    </a:endParaRP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支出</c:v>
                </c:pt>
              </c:strCache>
            </c:strRef>
          </c:cat>
          <c:val>
            <c:numRef>
              <c:f>Sheet1!$B$3</c:f>
              <c:numCache>
                <c:formatCode>General</c:formatCode>
                <c:ptCount val="1"/>
                <c:pt idx="0">
                  <c:v>5469.21</c:v>
                </c:pt>
              </c:numCache>
            </c:numRef>
          </c:val>
        </c:ser>
        <c:dLbls>
          <c:showLegendKey val="0"/>
          <c:showVal val="0"/>
          <c:showCatName val="0"/>
          <c:showSerName val="0"/>
          <c:showPercent val="0"/>
          <c:showBubbleSize val="0"/>
        </c:dLbls>
        <c:gapWidth val="150"/>
        <c:overlap val="0"/>
        <c:axId val="687420584"/>
        <c:axId val="662939346"/>
      </c:barChart>
      <c:catAx>
        <c:axId val="687420584"/>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2939346"/>
        <c:crosses val="autoZero"/>
        <c:auto val="1"/>
        <c:lblAlgn val="ctr"/>
        <c:lblOffset val="100"/>
        <c:noMultiLvlLbl val="0"/>
      </c:catAx>
      <c:valAx>
        <c:axId val="66293934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金额：万元</a:t>
                </a:r>
              </a:p>
            </c:rich>
          </c:tx>
          <c:layout>
            <c:manualLayout>
              <c:xMode val="edge"/>
              <c:yMode val="edge"/>
              <c:x val="0.009125"/>
              <c:y val="0.111866666666667"/>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7420584"/>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800" b="1">
                <a:solidFill>
                  <a:sysClr val="windowText" lastClr="000000"/>
                </a:solidFill>
              </a:rPr>
              <a:t>一般公共预算财政拨款支出决算结构图</a:t>
            </a:r>
            <a:endParaRPr sz="1800" b="1">
              <a:solidFill>
                <a:sysClr val="windowText" lastClr="000000"/>
              </a:solidFill>
            </a:endParaRP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135035311097022"/>
                  <c:y val="0.18262356302516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sz="1050" b="1">
                        <a:solidFill>
                          <a:sysClr val="windowText" lastClr="000000"/>
                        </a:solidFill>
                      </a:rPr>
                      <a:t>1214.87万元</a:t>
                    </a:r>
                    <a:endParaRPr sz="1050" b="1">
                      <a:solidFill>
                        <a:sysClr val="windowText" lastClr="000000"/>
                      </a:solidFill>
                    </a:endParaRPr>
                  </a:p>
                  <a:p>
                    <a:pPr defTabSz="914400">
                      <a:defRPr lang="zh-CN" sz="900" b="0" i="0" u="none" strike="noStrike" kern="1200" baseline="0">
                        <a:solidFill>
                          <a:schemeClr val="tx1">
                            <a:lumMod val="75000"/>
                            <a:lumOff val="25000"/>
                          </a:schemeClr>
                        </a:solidFill>
                        <a:latin typeface="+mn-lt"/>
                        <a:ea typeface="+mn-ea"/>
                        <a:cs typeface="+mn-cs"/>
                      </a:defRPr>
                    </a:pPr>
                    <a:r>
                      <a:rPr lang="en-US" altLang="zh-CN" sz="1050" b="1">
                        <a:solidFill>
                          <a:sysClr val="windowText" lastClr="000000"/>
                        </a:solidFill>
                      </a:rPr>
                      <a:t>22.21%</a:t>
                    </a:r>
                    <a:endParaRPr lang="en-US" altLang="zh-CN" sz="1050" b="1">
                      <a:solidFill>
                        <a:sysClr val="windowText" lastClr="000000"/>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manualLayout>
                      <c:w val="0.172375"/>
                      <c:h val="0.122166666666667"/>
                    </c:manualLayout>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sz="1050" b="1">
                        <a:solidFill>
                          <a:sysClr val="windowText" lastClr="000000"/>
                        </a:solidFill>
                      </a:rPr>
                      <a:t>3.73%</a:t>
                    </a:r>
                    <a:endParaRPr lang="en-US" altLang="zh-CN" sz="1050" b="1">
                      <a:solidFill>
                        <a:sysClr val="windowText" lastClr="000000"/>
                      </a:solidFill>
                    </a:endParaRPr>
                  </a:p>
                </c:rich>
              </c:tx>
              <c:dLblPos val="in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sz="1050" b="1">
                        <a:solidFill>
                          <a:sysClr val="windowText" lastClr="000000"/>
                        </a:solidFill>
                      </a:rPr>
                      <a:t>5.3%</a:t>
                    </a:r>
                    <a:endParaRPr lang="en-US" altLang="zh-CN" sz="1050" b="1">
                      <a:solidFill>
                        <a:sysClr val="windowText" lastClr="000000"/>
                      </a:solidFill>
                    </a:endParaRPr>
                  </a:p>
                </c:rich>
              </c:tx>
              <c:dLblPos val="inEnd"/>
              <c:showLegendKey val="0"/>
              <c:showVal val="1"/>
              <c:showCatName val="0"/>
              <c:showSerName val="0"/>
              <c:showPercent val="0"/>
              <c:showBubbleSize val="0"/>
              <c:extLst>
                <c:ext xmlns:c15="http://schemas.microsoft.com/office/drawing/2012/chart" uri="{CE6537A1-D6FC-4f65-9D91-7224C49458BB}"/>
              </c:extLst>
            </c:dLbl>
            <c:dLbl>
              <c:idx val="3"/>
              <c:layout>
                <c:manualLayout>
                  <c:x val="0.195638312401908"/>
                  <c:y val="-0.23556556940850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sz="1050" b="1">
                        <a:solidFill>
                          <a:sysClr val="windowText" lastClr="000000"/>
                        </a:solidFill>
                      </a:rPr>
                      <a:t>3760.3</a:t>
                    </a:r>
                    <a:r>
                      <a:rPr lang="en-US" altLang="zh-CN" sz="1050" b="1">
                        <a:solidFill>
                          <a:sysClr val="windowText" lastClr="000000"/>
                        </a:solidFill>
                      </a:rPr>
                      <a:t>5</a:t>
                    </a:r>
                    <a:r>
                      <a:rPr sz="1050" b="1">
                        <a:solidFill>
                          <a:sysClr val="windowText" lastClr="000000"/>
                        </a:solidFill>
                      </a:rPr>
                      <a:t>万元</a:t>
                    </a:r>
                    <a:endParaRPr sz="1050" b="1">
                      <a:solidFill>
                        <a:sysClr val="windowText" lastClr="000000"/>
                      </a:solidFill>
                    </a:endParaRPr>
                  </a:p>
                  <a:p>
                    <a:pPr defTabSz="914400">
                      <a:defRPr lang="zh-CN" sz="900" b="0" i="0" u="none" strike="noStrike" kern="1200" baseline="0">
                        <a:solidFill>
                          <a:schemeClr val="tx1">
                            <a:lumMod val="75000"/>
                            <a:lumOff val="25000"/>
                          </a:schemeClr>
                        </a:solidFill>
                        <a:latin typeface="+mn-lt"/>
                        <a:ea typeface="+mn-ea"/>
                        <a:cs typeface="+mn-cs"/>
                      </a:defRPr>
                    </a:pPr>
                    <a:r>
                      <a:rPr lang="en-US" altLang="zh-CN" sz="1050" b="1">
                        <a:solidFill>
                          <a:sysClr val="windowText" lastClr="000000"/>
                        </a:solidFill>
                      </a:rPr>
                      <a:t>68.75%</a:t>
                    </a:r>
                    <a:endParaRPr lang="en-US" altLang="zh-CN" sz="1050" b="1">
                      <a:solidFill>
                        <a:sysClr val="windowText" lastClr="000000"/>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manualLayout>
                      <c:w val="0.19675"/>
                      <c:h val="0.185"/>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社会保障和就业（类）</c:v>
                </c:pt>
                <c:pt idx="1">
                  <c:v>卫生健康</c:v>
                </c:pt>
                <c:pt idx="2">
                  <c:v>住房保障</c:v>
                </c:pt>
                <c:pt idx="3">
                  <c:v>资源勘探工业信息等</c:v>
                </c:pt>
              </c:strCache>
            </c:strRef>
          </c:cat>
          <c:val>
            <c:numRef>
              <c:f>Sheet1!$B$2:$B$5</c:f>
              <c:numCache>
                <c:formatCode>General</c:formatCode>
                <c:ptCount val="4"/>
                <c:pt idx="0">
                  <c:v>1214.87</c:v>
                </c:pt>
                <c:pt idx="1">
                  <c:v>204</c:v>
                </c:pt>
                <c:pt idx="2">
                  <c:v>290</c:v>
                </c:pt>
                <c:pt idx="3">
                  <c:v>3760.34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C7602-F64C-4C8E-92A1-821E23A4E59B}">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20</Pages>
  <Words>5707</Words>
  <Characters>6620</Characters>
  <Lines>61</Lines>
  <Paragraphs>17</Paragraphs>
  <TotalTime>3</TotalTime>
  <ScaleCrop>false</ScaleCrop>
  <LinksUpToDate>false</LinksUpToDate>
  <CharactersWithSpaces>6654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崔艳平</cp:lastModifiedBy>
  <cp:lastPrinted>2021-08-23T07:37:00Z</cp:lastPrinted>
  <dcterms:modified xsi:type="dcterms:W3CDTF">2022-11-11T07:39:51Z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CA65B019756D48C1B9CCEFF18CFA4CAF</vt:lpwstr>
  </property>
</Properties>
</file>